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Wireless Ethernet System</w:t>
      </w:r>
    </w:p>
    <w:p>
      <w:pPr>
        <w:spacing w:after="240"/>
      </w:pPr>
      <w:r>
        <w:rPr>
          <w:rFonts w:ascii="Calibri" w:hAnsi="Calibri"/>
          <w:b/>
          <w:color w:val="FC7C00"/>
          <w:sz w:val="31"/>
        </w:rPr>
        <w:t>Basis of Design: KBC Networks WES5</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wireless Ethernet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Specsheet-WES5 Series-Rev2502.pdf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wireless ethernet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WES5. Source description: Wi-Fi 6 802.11a/n/ac/ax Wireless Ethernet Modules.</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wireless Ethernet, radio planning, antenna alignment, PoE power, outdoor mounting and applicable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WES5, or an approved equivalent meeting all requirements below. It shall be supplied as wi-fi 6 802.11a/n/ac/ax wireless ethernet modules.</w:t>
      </w:r>
    </w:p>
    <w:p>
      <w:pPr>
        <w:pStyle w:val="Heading2"/>
        <w:keepNext/>
      </w:pPr>
      <w:r>
        <w:t>2.2 PRODUCT DESCRIPTION</w:t>
      </w:r>
    </w:p>
    <w:p>
      <w:r>
        <w:t>This dual-radio access point incorporates the latest Wi-Fi 6 (802.11ax) wireless Ethernet technology. As the fifth addition to KBC's wireless systems, it builds on the user-friendly design of its predecessors in the widely recognized WES3 and WES4 series. WES5 utilizes 2.4 &amp; 5 GHz license-free frequencies.</w:t>
      </w:r>
    </w:p>
    <w:p>
      <w:r>
        <w:t>The WES5 offers unparalleled throughput, delivering up to 2.4 Gbps (radio rate) when connected to another WES5 unit in an optimal wireless environment. Its rugged,</w:t>
      </w:r>
    </w:p>
    <w:p>
      <w:r>
        <w:t>The WES5 units are wall or pole-mountable with the included hardware.</w:t>
      </w:r>
    </w:p>
    <w:p>
      <w:pPr>
        <w:pStyle w:val="Heading2"/>
        <w:keepNext/>
      </w:pPr>
      <w:r>
        <w:t>2.3 KEY FEATURES</w:t>
      </w:r>
    </w:p>
    <w:p>
      <w:pPr>
        <w:pStyle w:val="ListBullet"/>
        <w:spacing w:after="50"/>
        <w:ind w:left="403" w:hanging="230"/>
      </w:pPr>
      <w:r>
        <w:rPr>
          <w:rFonts w:ascii="Calibri" w:hAnsi="Calibri"/>
          <w:color w:val="243447"/>
          <w:sz w:val="21"/>
        </w:rPr>
        <w:t>Multiple mode configurations (Host/Client/Ad-Hoc) • Point-to-Point &amp; Point-to-Multi Point Systems</w:t>
      </w:r>
    </w:p>
    <w:p>
      <w:pPr>
        <w:pStyle w:val="ListBullet"/>
        <w:spacing w:after="50"/>
        <w:ind w:left="403" w:hanging="230"/>
      </w:pPr>
      <w:r>
        <w:rPr>
          <w:rFonts w:ascii="Calibri" w:hAnsi="Calibri"/>
          <w:color w:val="243447"/>
          <w:sz w:val="21"/>
        </w:rPr>
        <w:t>Gigabit PoE - IEEE 802.3at/bt or Passive 48Vdc • High throughput back hauls</w:t>
      </w:r>
    </w:p>
    <w:p>
      <w:pPr>
        <w:pStyle w:val="ListBullet"/>
        <w:spacing w:after="50"/>
        <w:ind w:left="403" w:hanging="230"/>
      </w:pPr>
      <w:r>
        <w:rPr>
          <w:rFonts w:ascii="Calibri" w:hAnsi="Calibri"/>
          <w:color w:val="243447"/>
          <w:sz w:val="21"/>
        </w:rPr>
        <w:t>IEEE802.11a/n/ac/ax compliant • Megapixel IP camera networks &amp; remote gate access</w:t>
      </w:r>
    </w:p>
    <w:p>
      <w:pPr>
        <w:pStyle w:val="ListBullet"/>
        <w:spacing w:after="50"/>
        <w:ind w:left="403" w:hanging="230"/>
      </w:pPr>
      <w:r>
        <w:rPr>
          <w:rFonts w:ascii="Calibri" w:hAnsi="Calibri"/>
          <w:color w:val="243447"/>
          <w:sz w:val="21"/>
        </w:rPr>
        <w:t>Transmission Power Control, up to 27dBm • Multi-family housing complexes; parking lots; perimeter</w:t>
      </w:r>
    </w:p>
    <w:p>
      <w:pPr>
        <w:pStyle w:val="ListBullet"/>
        <w:spacing w:after="50"/>
        <w:ind w:left="403" w:hanging="230"/>
      </w:pPr>
      <w:r>
        <w:rPr>
          <w:rFonts w:ascii="Calibri" w:hAnsi="Calibri"/>
          <w:color w:val="243447"/>
          <w:sz w:val="21"/>
        </w:rPr>
        <w:t>Integrated directional antenna (option for external detection equipment; video surveillance in elevators connection available) • Warehouses, industrial plants, water treatment facilities</w:t>
      </w:r>
    </w:p>
    <w:p>
      <w:pPr>
        <w:pStyle w:val="ListBullet"/>
        <w:spacing w:after="50"/>
        <w:ind w:left="403" w:hanging="230"/>
      </w:pPr>
      <w:r>
        <w:rPr>
          <w:rFonts w:ascii="Calibri" w:hAnsi="Calibri"/>
          <w:color w:val="243447"/>
          <w:sz w:val="21"/>
        </w:rPr>
        <w:t>Static or DFS in 5.180~5.825 GHz bands • Off grid power poles with solar-powered electronics</w:t>
      </w:r>
    </w:p>
    <w:p>
      <w:pPr>
        <w:pStyle w:val="ListBullet"/>
        <w:spacing w:after="50"/>
        <w:ind w:left="403" w:hanging="230"/>
      </w:pPr>
      <w:r>
        <w:rPr>
          <w:rFonts w:ascii="Calibri" w:hAnsi="Calibri"/>
          <w:color w:val="243447"/>
          <w:sz w:val="21"/>
        </w:rPr>
        <w:t>20; 20/40; 80; 160 MHz spectrum width options • Intercoms with integrated video</w:t>
      </w:r>
    </w:p>
    <w:p>
      <w:pPr>
        <w:pStyle w:val="ListBullet"/>
        <w:spacing w:after="50"/>
        <w:ind w:left="403" w:hanging="230"/>
      </w:pPr>
      <w:r>
        <w:rPr>
          <w:rFonts w:ascii="Calibri" w:hAnsi="Calibri"/>
          <w:color w:val="243447"/>
          <w:sz w:val="21"/>
        </w:rPr>
        <w:t>Up to 2402 Mbps of Throughput • Building to building network extension</w:t>
      </w:r>
    </w:p>
    <w:p>
      <w:pPr>
        <w:pStyle w:val="ListBullet"/>
        <w:spacing w:after="50"/>
        <w:ind w:left="403" w:hanging="230"/>
      </w:pPr>
      <w:r>
        <w:rPr>
          <w:rFonts w:ascii="Calibri" w:hAnsi="Calibri"/>
          <w:color w:val="243447"/>
          <w:sz w:val="21"/>
        </w:rPr>
        <w:t>Secure transmission: WPA3 AES encryption • Exterior access points</w:t>
      </w:r>
    </w:p>
    <w:p>
      <w:pPr>
        <w:pStyle w:val="ListBullet"/>
        <w:spacing w:after="50"/>
        <w:ind w:left="403" w:hanging="230"/>
      </w:pPr>
      <w:r>
        <w:rPr>
          <w:rFonts w:ascii="Calibri" w:hAnsi="Calibri"/>
          <w:color w:val="243447"/>
          <w:sz w:val="21"/>
        </w:rPr>
        <w:t>Distance adjustment for long range transmission</w:t>
      </w:r>
    </w:p>
    <w:p>
      <w:pPr>
        <w:pStyle w:val="ListBullet"/>
        <w:spacing w:after="50"/>
        <w:ind w:left="403" w:hanging="230"/>
      </w:pPr>
      <w:r>
        <w:rPr>
          <w:rFonts w:ascii="Calibri" w:hAnsi="Calibri"/>
          <w:color w:val="243447"/>
          <w:sz w:val="21"/>
        </w:rPr>
        <w:t>IP66 protection class Included with Each Unit</w:t>
      </w:r>
    </w:p>
    <w:p>
      <w:pPr>
        <w:pStyle w:val="ListBullet"/>
        <w:spacing w:after="50"/>
        <w:ind w:left="403" w:hanging="230"/>
      </w:pPr>
      <w:r>
        <w:rPr>
          <w:rFonts w:ascii="Calibri" w:hAnsi="Calibri"/>
          <w:color w:val="243447"/>
          <w:sz w:val="21"/>
        </w:rPr>
        <w:t>Embedded web browser graphical user interface (GUI) for • Quick start instructions. at-a-glance diagnostics and ease-of-use configuration • Rugged pole/wall mount assembly kit</w:t>
      </w:r>
    </w:p>
    <w:p>
      <w:pPr>
        <w:pStyle w:val="ListBullet"/>
        <w:spacing w:after="50"/>
        <w:ind w:left="403" w:hanging="230"/>
      </w:pPr>
      <w:r>
        <w:rPr>
          <w:rFonts w:ascii="Calibri" w:hAnsi="Calibri"/>
          <w:color w:val="243447"/>
          <w:sz w:val="21"/>
        </w:rPr>
        <w:t>Static &amp; dynamic IPv4 LAN addressing, DHCP router mode • Embedded web browser-based Graphical User Interface Contact KBC Networks for Pre-configured Point-to-Point kits and convenient bundled kits with remote power solutions providing all the needed equipment from one supplier</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 10BASE-T, IEEE 802.3u 100BASE-TX IEEE 802.3ab 1000BASE-T, IEEE 802.3x Full Duplex IEEE 802.11a 5GHz, IEEE 802.11h ETSI DFS &amp; TPC IEEE 802.11n MIMO IEEE 802.11ac MIMO IEEE 802.11ax MU-MIMO OFDMA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Method - 48~54VDC PoE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802.3af/at/bt (PD) PoE via PSE device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Method - 48VDC passive PoE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Gigabit PoE injector (4)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Consumption - 802.3af PoE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Max 14.4W, typical 7W (5)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Consumption - 48VDC passive PoE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Max 14.4W, typical 7W (5)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Casing - Dimensions (L x W x 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268.45mm x 130.00mm x 82.20mm /10.57” x 5.12” x 3.24”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Radio 1 (Wi-Fi-0) - Power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27 dBm max(1) Transmit Power Control (ETSI TPC)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Frequency Operation - User Static Selectable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2400~2480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Casing - Weight (17dBi unit)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1.545kg / 3.41lbs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Casing - Installation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or pole-mount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IP66</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Radio 2 (Wi-Fi-1) - Power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27 dBm max(1) Transmit Power Control (ETSI TPC)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+74°C / -40°~ +165°F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+90°C / -40°~ +194°F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Radio 2 (Wi-Fi-1) - Channel Bandwidth Spectrum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20/40/80/160(2) MHz selectable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Frequency Operation - User Static Selectable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5180~5240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Frequency Operation - Frequencies (FCC) U-NII3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5745~5825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Frequency Operation - Dynamic Frequency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5500~5700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- 10/100/1000Mbps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x 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N female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WES5-AX-AF model only</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- 5 dBi omni-directional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Dual polarization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Approvals - FCC Part 15 Subpart C</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Class 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External N-connector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Beamwidth</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Approvals - 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Class 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(WES5-AX-AF only)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Azimuth: Horizontal 360°, vert 65° Elevation: Horizontal33°, vert 33°</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 55024 - (IEC61000-4-2,3,4,5,6,8,11)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Electromagnetic Immunity</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 55024 - EN 55022 (CISPR 22)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Electromagnetic Interference (Conduction &amp; Radiation)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- 9 dBi</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Dual polarization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Integrated directional panel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Beamwidth</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 55024 - EN 60 950: 1992+A1: 1993+A2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Low Voltage Directive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(WES5-AX-Bx model)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Azimuth: Horizontal 65°, vert 65° Elevation: Horizontal 33°, vert 33°</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- 17 dBi</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Dual polarization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Integrated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Beamwidth</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directional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Azimuth: Horizontal 30°, vert 33°</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Antenna Options - panel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Elevation: Horizontal 17°, vert 17°</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TX/RX - Rate (3)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2402Mbps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TX/RX - Latency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&lt;10ms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TX/RX - Encryption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AES3 128-bit</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Specsheet-WES5 Series-Rev2502.pdf.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that the selected operating frequency, channel plan and regulatory settings are suitable for the installation region.</w:t>
      </w:r>
    </w:p>
    <w:p>
      <w:pPr>
        <w:pStyle w:val="ListBullet"/>
        <w:spacing w:after="50"/>
        <w:ind w:left="403" w:hanging="230"/>
      </w:pPr>
      <w:r>
        <w:rPr>
          <w:rFonts w:ascii="Calibri" w:hAnsi="Calibri"/>
          <w:color w:val="243447"/>
          <w:sz w:val="21"/>
        </w:rPr>
        <w:t>Confirm line of sight, mounting height, antenna orientation, cable routing, surge protection and environmental exposure.</w:t>
      </w:r>
    </w:p>
    <w:p>
      <w:pPr>
        <w:pStyle w:val="ListBullet"/>
        <w:spacing w:after="50"/>
        <w:ind w:left="403" w:hanging="230"/>
      </w:pPr>
      <w:r>
        <w:rPr>
          <w:rFonts w:ascii="Calibri" w:hAnsi="Calibri"/>
          <w:color w:val="243447"/>
          <w:sz w:val="21"/>
        </w:rPr>
        <w:t>Provide compatible PoE or DC power and verify the required power budget before energising the equipment.</w:t>
      </w:r>
    </w:p>
    <w:p>
      <w:pPr>
        <w:pStyle w:val="ListBullet"/>
        <w:spacing w:after="50"/>
        <w:ind w:left="403" w:hanging="230"/>
      </w:pPr>
      <w:r>
        <w:rPr>
          <w:rFonts w:ascii="Calibri" w:hAnsi="Calibri"/>
          <w:color w:val="243447"/>
          <w:sz w:val="21"/>
        </w:rPr>
        <w:t>Configure, align and secure wireless links in accordance with the manufacturer instructions and approved network design.</w:t>
      </w:r>
    </w:p>
    <w:p>
      <w:pPr>
        <w:pStyle w:val="Heading2"/>
        <w:keepNext/>
      </w:pPr>
      <w:r>
        <w:t>3.3 CONFIGURATION AND COMMISSIONING</w:t>
      </w:r>
    </w:p>
    <w:p>
      <w:pPr>
        <w:pStyle w:val="ListBullet"/>
        <w:spacing w:after="50"/>
        <w:ind w:left="403" w:hanging="230"/>
      </w:pPr>
      <w:r>
        <w:rPr>
          <w:rFonts w:ascii="Calibri" w:hAnsi="Calibri"/>
          <w:color w:val="243447"/>
          <w:sz w:val="21"/>
        </w:rPr>
        <w:t>Verify link association, signal level, throughput and stability under normal operating conditions.</w:t>
      </w:r>
    </w:p>
    <w:p>
      <w:pPr>
        <w:pStyle w:val="ListBullet"/>
        <w:spacing w:after="50"/>
        <w:ind w:left="403" w:hanging="230"/>
      </w:pPr>
      <w:r>
        <w:rPr>
          <w:rFonts w:ascii="Calibri" w:hAnsi="Calibri"/>
          <w:color w:val="243447"/>
          <w:sz w:val="21"/>
        </w:rPr>
        <w:t>Record operating mode, channel, bandwidth, addressing, security and alignment settings.</w:t>
      </w:r>
    </w:p>
    <w:p>
      <w:pPr>
        <w:pStyle w:val="ListBullet"/>
        <w:spacing w:after="50"/>
        <w:ind w:left="403" w:hanging="230"/>
      </w:pPr>
      <w:r>
        <w:rPr>
          <w:rFonts w:ascii="Calibri" w:hAnsi="Calibri"/>
          <w:color w:val="243447"/>
          <w:sz w:val="21"/>
        </w:rPr>
        <w:t>Demonstrate recovery following power interruption and verify required failover or redundancy behaviour where applicable.</w:t>
      </w:r>
    </w:p>
    <w:p>
      <w:pPr>
        <w:pStyle w:val="ListBullet"/>
        <w:spacing w:after="50"/>
        <w:ind w:left="403" w:hanging="230"/>
      </w:pPr>
      <w:r>
        <w:rPr>
          <w:rFonts w:ascii="Calibri" w:hAnsi="Calibri"/>
          <w:color w:val="243447"/>
          <w:sz w:val="21"/>
        </w:rPr>
        <w:t>Provide final configuration records,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WES5</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WES5</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WES5</dc:title>
  <dc:subject>Industrial wireless Ethernet equipment</dc:subject>
  <dc:creator>KBC Networks</dc:creator>
  <cp:keywords>A&amp;E specification, KBC Networks, wireless</cp:keywords>
  <dc:description>generated by python-docx</dc:description>
  <cp:lastModifiedBy/>
  <cp:revision>1</cp:revision>
  <dcterms:created xsi:type="dcterms:W3CDTF">2013-12-23T23:15:00Z</dcterms:created>
  <dcterms:modified xsi:type="dcterms:W3CDTF">2013-12-23T23:15:00Z</dcterms:modified>
  <cp:category/>
</cp:coreProperties>
</file>