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Wireless Ethernet System</w:t>
      </w:r>
    </w:p>
    <w:p>
      <w:pPr>
        <w:spacing w:after="240"/>
      </w:pPr>
      <w:r>
        <w:rPr>
          <w:rFonts w:ascii="Calibri" w:hAnsi="Calibri"/>
          <w:b/>
          <w:color w:val="FC7C00"/>
          <w:sz w:val="31"/>
        </w:rPr>
        <w:t>Basis of Design: KBC Networks WES4HTG</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wireless Ethernet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Specsheet-WES4HTG_Series-Rev2306.pdf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wireless ethernet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WES4HTG. Source description: Gigabit Point-to-Point &amp; Point-to-Multipoint Wireless Ethernet System PoE / Non PoE.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wireless Ethernet, radio planning, antenna alignment, PoE power, outdoor mounting and applicable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WES4HTG, or an approved equivalent meeting all requirements below. It shall be supplied as gigabit point-to-point &amp; point-to-multipoint wireless ethernet system poe / non poe.</w:t>
      </w:r>
    </w:p>
    <w:p>
      <w:pPr>
        <w:pStyle w:val="Heading2"/>
        <w:keepNext/>
      </w:pPr>
      <w:r>
        <w:t>2.2 PRODUCT DESCRIPTION</w:t>
      </w:r>
    </w:p>
    <w:p>
      <w:r>
        <w:t>The WES4HTG Wireless Ethernet System is a high throughput gigabit wireless transmission system that operates in the license-free, 5GHz band providing an Ethernet channel of up to 1 Gbps aggregate.</w:t>
      </w:r>
    </w:p>
    <w:p>
      <w:r>
        <w:t>The WES4HTG firmware is configurable for product type, enabling one common unit to be configured as a client, single-point host or multipoint host.</w:t>
      </w:r>
    </w:p>
    <w:p>
      <w:r>
        <w:t>The system is IEEE802.11ac compliant and will support up to 1 Gbps throughput due to MIMO technology (Multiple In Multiple Out) and 80 MHz spectrum width capability. WES4HTG provides high throughput connectivity for backhaul applications as well as a wide range of Ethernet devices such as megapixel/HD IP cameras, DVRs and web servers. It uses secure encryption to prevent unauthorized access to the system. WES4HTG is IEEE802.3af compliant and can also be used with a power injection module for applications where PoE is not available. The WES4HTG units are wall or pole-mountable with the included hardware.</w:t>
      </w:r>
    </w:p>
    <w:p>
      <w:pPr>
        <w:pStyle w:val="Heading2"/>
        <w:keepNext/>
      </w:pPr>
      <w:r>
        <w:t>2.3 KEY FEATURES</w:t>
      </w:r>
    </w:p>
    <w:p>
      <w:pPr>
        <w:pStyle w:val="ListBullet"/>
        <w:spacing w:after="50"/>
        <w:ind w:left="403" w:hanging="230"/>
      </w:pPr>
      <w:r>
        <w:rPr>
          <w:rFonts w:ascii="Calibri" w:hAnsi="Calibri"/>
          <w:color w:val="243447"/>
          <w:sz w:val="21"/>
        </w:rPr>
        <w:t>Configurable for client / singlepoint host / multipoint host</w:t>
      </w:r>
    </w:p>
    <w:p>
      <w:pPr>
        <w:pStyle w:val="ListBullet"/>
        <w:spacing w:after="50"/>
        <w:ind w:left="403" w:hanging="230"/>
      </w:pPr>
      <w:r>
        <w:rPr>
          <w:rFonts w:ascii="Calibri" w:hAnsi="Calibri"/>
          <w:color w:val="243447"/>
          <w:sz w:val="21"/>
        </w:rPr>
        <w:t>IEEE802.11ac compliant</w:t>
      </w:r>
    </w:p>
    <w:p>
      <w:pPr>
        <w:pStyle w:val="ListBullet"/>
        <w:spacing w:after="50"/>
        <w:ind w:left="403" w:hanging="230"/>
      </w:pPr>
      <w:r>
        <w:rPr>
          <w:rFonts w:ascii="Calibri" w:hAnsi="Calibri"/>
          <w:color w:val="243447"/>
          <w:sz w:val="21"/>
        </w:rPr>
        <w:t>Transmission Power Control</w:t>
      </w:r>
    </w:p>
    <w:p>
      <w:pPr>
        <w:pStyle w:val="ListBullet"/>
        <w:spacing w:after="50"/>
        <w:ind w:left="403" w:hanging="230"/>
      </w:pPr>
      <w:r>
        <w:rPr>
          <w:rFonts w:ascii="Calibri" w:hAnsi="Calibri"/>
          <w:color w:val="243447"/>
          <w:sz w:val="21"/>
        </w:rPr>
        <w:t>Up to 30dBm output power</w:t>
      </w:r>
    </w:p>
    <w:p>
      <w:pPr>
        <w:pStyle w:val="ListBullet"/>
        <w:spacing w:after="50"/>
        <w:ind w:left="403" w:hanging="230"/>
      </w:pPr>
      <w:r>
        <w:rPr>
          <w:rFonts w:ascii="Calibri" w:hAnsi="Calibri"/>
          <w:color w:val="243447"/>
          <w:sz w:val="21"/>
        </w:rPr>
        <w:t>Secure transmission: WPA2 – AES or TKIP encryption</w:t>
      </w:r>
    </w:p>
    <w:p>
      <w:pPr>
        <w:pStyle w:val="ListBullet"/>
        <w:spacing w:after="50"/>
        <w:ind w:left="403" w:hanging="230"/>
      </w:pPr>
      <w:r>
        <w:rPr>
          <w:rFonts w:ascii="Calibri" w:hAnsi="Calibri"/>
          <w:color w:val="243447"/>
          <w:sz w:val="21"/>
        </w:rPr>
        <w:t>Antenna alignment &amp; site signal survey tools</w:t>
      </w:r>
    </w:p>
    <w:p>
      <w:pPr>
        <w:pStyle w:val="ListBullet"/>
        <w:spacing w:after="50"/>
        <w:ind w:left="403" w:hanging="230"/>
      </w:pPr>
      <w:r>
        <w:rPr>
          <w:rFonts w:ascii="Calibri" w:hAnsi="Calibri"/>
          <w:color w:val="243447"/>
          <w:sz w:val="21"/>
        </w:rPr>
        <w:t>Distance adjustment for long range transmission</w:t>
      </w:r>
    </w:p>
    <w:p>
      <w:pPr>
        <w:pStyle w:val="ListBullet"/>
        <w:spacing w:after="50"/>
        <w:ind w:left="403" w:hanging="230"/>
      </w:pPr>
      <w:r>
        <w:rPr>
          <w:rFonts w:ascii="Calibri" w:hAnsi="Calibri"/>
          <w:color w:val="243447"/>
          <w:sz w:val="21"/>
        </w:rPr>
        <w:t>Range of antenna options</w:t>
      </w:r>
    </w:p>
    <w:p>
      <w:pPr>
        <w:pStyle w:val="ListBullet"/>
        <w:spacing w:after="50"/>
        <w:ind w:left="403" w:hanging="230"/>
      </w:pPr>
      <w:r>
        <w:rPr>
          <w:rFonts w:ascii="Calibri" w:hAnsi="Calibri"/>
          <w:color w:val="243447"/>
          <w:sz w:val="21"/>
        </w:rPr>
        <w:t>Passive midspan compliant PoE support</w:t>
      </w:r>
    </w:p>
    <w:p>
      <w:pPr>
        <w:pStyle w:val="ListBullet"/>
        <w:spacing w:after="50"/>
        <w:ind w:left="403" w:hanging="230"/>
      </w:pPr>
      <w:r>
        <w:rPr>
          <w:rFonts w:ascii="Calibri" w:hAnsi="Calibri"/>
          <w:color w:val="243447"/>
          <w:sz w:val="21"/>
        </w:rPr>
        <w:t>IP66 protection class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IEEE 802.3ab 1000BASE-T, IEEE 802.3x Full Duplex IEEE 802.11a 5GHz, IEEE 802.11h ETSI DFS &amp; TPC IEEE 802.11n MIMO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Method - PoE version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802.3af (PD) / Included PIM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Method - PoE cable spec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100m on 24AWG Cat5/5e/6/6e/7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Casing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IP66 protection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Dimensions (L x W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292mm x 146mm x 89mm /11.5” x 5.75” x 3.5”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 USA &amp; Canada (FCC) U-NII3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5180 ~ 5240MHz, 5745 ~ 5825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Weight (17dBi unit)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0.82kg / 1.8lb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 Europe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5500 ~ 5700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(unit) - Installation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or pole-mount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 Frequency Operation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Auto-select User static selectable Dynamic Frequency Selection (ETSI DFS)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+90°C / -40°~ +194°F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30dBm max (1) Transmit Power Control (ETSI TPC)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1,500,000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 Channel Bandwidth Spectrum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Selectable 20, 40 or 80MHz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- 10/100/1000Mbps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- 5dBi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Omni-directional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- 9dBi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Directional integrated patch Dual polarization Beamwidth: Azimuth:Horizontal 65°, vert 65° Elevation: Horizontal 33°, vert 33°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FCC Part 15 Subpart 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(IEC61000-4-2,3,4,5,6,8,11)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Immunity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- 17dBi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Directional integrated patch Dual polarization Beamwidth: Azimuth:Horizontal 30°, vert 33° Elevation: Horizontal 17°, vert 17°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EN 55022 (CISPR 22)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Interference (Conduction &amp; Radiation)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EN 60 950: 1992+A1: 1993+A2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Low Voltage Directive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Data throughput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HT40 HT80 300Mbps 500Mbps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Latency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&lt;10ms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System - Encryption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TKIP / AES encryption up to 128 bit</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Specsheet-WES4HTG_Series-Rev2306.pdf.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that the selected operating frequency, channel plan and regulatory settings are suitable for the installation region.</w:t>
      </w:r>
    </w:p>
    <w:p>
      <w:pPr>
        <w:pStyle w:val="ListBullet"/>
        <w:spacing w:after="50"/>
        <w:ind w:left="403" w:hanging="230"/>
      </w:pPr>
      <w:r>
        <w:rPr>
          <w:rFonts w:ascii="Calibri" w:hAnsi="Calibri"/>
          <w:color w:val="243447"/>
          <w:sz w:val="21"/>
        </w:rPr>
        <w:t>Confirm line of sight, mounting height, antenna orientation, cable routing, surge protection and environmental exposure.</w:t>
      </w:r>
    </w:p>
    <w:p>
      <w:pPr>
        <w:pStyle w:val="ListBullet"/>
        <w:spacing w:after="50"/>
        <w:ind w:left="403" w:hanging="230"/>
      </w:pPr>
      <w:r>
        <w:rPr>
          <w:rFonts w:ascii="Calibri" w:hAnsi="Calibri"/>
          <w:color w:val="243447"/>
          <w:sz w:val="21"/>
        </w:rPr>
        <w:t>Provide compatible PoE or DC power and verify the required power budget before energising the equipment.</w:t>
      </w:r>
    </w:p>
    <w:p>
      <w:pPr>
        <w:pStyle w:val="ListBullet"/>
        <w:spacing w:after="50"/>
        <w:ind w:left="403" w:hanging="230"/>
      </w:pPr>
      <w:r>
        <w:rPr>
          <w:rFonts w:ascii="Calibri" w:hAnsi="Calibri"/>
          <w:color w:val="243447"/>
          <w:sz w:val="21"/>
        </w:rPr>
        <w:t>Configure, align and secure wireless links in accordance with the manufacturer instructions and approved network design.</w:t>
      </w:r>
    </w:p>
    <w:p>
      <w:pPr>
        <w:pStyle w:val="Heading2"/>
        <w:keepNext/>
      </w:pPr>
      <w:r>
        <w:t>3.3 CONFIGURATION AND COMMISSIONING</w:t>
      </w:r>
    </w:p>
    <w:p>
      <w:pPr>
        <w:pStyle w:val="ListBullet"/>
        <w:spacing w:after="50"/>
        <w:ind w:left="403" w:hanging="230"/>
      </w:pPr>
      <w:r>
        <w:rPr>
          <w:rFonts w:ascii="Calibri" w:hAnsi="Calibri"/>
          <w:color w:val="243447"/>
          <w:sz w:val="21"/>
        </w:rPr>
        <w:t>Verify link association, signal level, throughput and stability under normal operating conditions.</w:t>
      </w:r>
    </w:p>
    <w:p>
      <w:pPr>
        <w:pStyle w:val="ListBullet"/>
        <w:spacing w:after="50"/>
        <w:ind w:left="403" w:hanging="230"/>
      </w:pPr>
      <w:r>
        <w:rPr>
          <w:rFonts w:ascii="Calibri" w:hAnsi="Calibri"/>
          <w:color w:val="243447"/>
          <w:sz w:val="21"/>
        </w:rPr>
        <w:t>Record operating mode, channel, bandwidth, addressing, security and alignment settings.</w:t>
      </w:r>
    </w:p>
    <w:p>
      <w:pPr>
        <w:pStyle w:val="ListBullet"/>
        <w:spacing w:after="50"/>
        <w:ind w:left="403" w:hanging="230"/>
      </w:pPr>
      <w:r>
        <w:rPr>
          <w:rFonts w:ascii="Calibri" w:hAnsi="Calibri"/>
          <w:color w:val="243447"/>
          <w:sz w:val="21"/>
        </w:rPr>
        <w:t>Demonstrate recovery following power interruption and verify required failover or redundancy behaviour where applicable.</w:t>
      </w:r>
    </w:p>
    <w:p>
      <w:pPr>
        <w:pStyle w:val="ListBullet"/>
        <w:spacing w:after="50"/>
        <w:ind w:left="403" w:hanging="230"/>
      </w:pPr>
      <w:r>
        <w:rPr>
          <w:rFonts w:ascii="Calibri" w:hAnsi="Calibri"/>
          <w:color w:val="243447"/>
          <w:sz w:val="21"/>
        </w:rPr>
        <w:t>Provide final configuration records,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WES4HTG</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WES4HTG</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WES4HTG</dc:title>
  <dc:subject>Industrial wireless Ethernet equipment</dc:subject>
  <dc:creator>KBC Networks</dc:creator>
  <cp:keywords>A&amp;E specification, KBC Networks, wireless</cp:keywords>
  <dc:description>generated by python-docx</dc:description>
  <cp:lastModifiedBy/>
  <cp:revision>1</cp:revision>
  <dcterms:created xsi:type="dcterms:W3CDTF">2013-12-23T23:15:00Z</dcterms:created>
  <dcterms:modified xsi:type="dcterms:W3CDTF">2013-12-23T23:15:00Z</dcterms:modified>
  <cp:category/>
</cp:coreProperties>
</file>