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Secure Industrial Networking Gateway</w:t>
      </w:r>
    </w:p>
    <w:p>
      <w:pPr>
        <w:spacing w:after="240"/>
      </w:pPr>
      <w:r>
        <w:rPr>
          <w:rFonts w:ascii="Calibri" w:hAnsi="Calibri"/>
          <w:b/>
          <w:color w:val="FC7C00"/>
          <w:sz w:val="31"/>
        </w:rPr>
        <w:t>Basis of Design: KBC Networks THLK3-HC-HP</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encrypted networking and VPN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Specsheet-THLK3-HC-HP-Rev2604.pdf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secure industrial networking gateway described in this specification, including the required interfaces, power connections, mounting hardware and compatible accessories.</w:t>
      </w:r>
    </w:p>
    <w:p>
      <w:pPr>
        <w:pStyle w:val="Heading2"/>
        <w:keepNext/>
      </w:pPr>
      <w:r>
        <w:t>1.2 BASIS OF DESIGN</w:t>
      </w:r>
    </w:p>
    <w:p>
      <w:r>
        <w:t>Basis-of-design manufacturer and product: KBC Networks THLK3-HC-HP. Source description: High Capacity/High Capacity Plus Industrial Hardware VPN Gateway for Secure.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IP networking, encrypted overlay networks, cellular communications, antenna installation, cybersecurity configuration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THLK3-HC-HP, or an approved equivalent meeting all requirements below. It shall be supplied as high capacity/high capacity plus industrial hardware vpn gateway for secure.</w:t>
      </w:r>
    </w:p>
    <w:p>
      <w:pPr>
        <w:pStyle w:val="Heading2"/>
        <w:keepNext/>
      </w:pPr>
      <w:r>
        <w:t>2.2 PRODUCT DESCRIPTION</w:t>
      </w:r>
    </w:p>
    <w:p>
      <w:r>
        <w:t>The KBC ThruLinkTM Series 3rd generation is an industrial-grade hardware VPN gateway engineered to deliver secure, reliable connectivity across public and private IP networks in remote, harsh, and mission-critical environments.</w:t>
      </w:r>
    </w:p>
    <w:p>
      <w:r>
        <w:t>Designed for deployment in non-conditioned locations, ThruLink enables encrypted communication across complex network infrastructures, including those behind firewalls and NAT devices, without requiring network reconfiguration or fixed public IP addresses.</w:t>
      </w:r>
    </w:p>
    <w:p>
      <w:r>
        <w:t>With integrated 4G LTE connectivity and support for dynamic mesh networking, ThruLink ensures resilient, always-on communication for distributed systems and critical infrastructure.</w:t>
      </w:r>
    </w:p>
    <w:p>
      <w:pPr>
        <w:pStyle w:val="Heading2"/>
        <w:keepNext/>
      </w:pPr>
      <w:r>
        <w:t>2.3 KEY FEATURES</w:t>
      </w:r>
    </w:p>
    <w:p>
      <w:pPr>
        <w:pStyle w:val="ListBullet"/>
        <w:spacing w:after="50"/>
        <w:ind w:left="403" w:hanging="230"/>
      </w:pPr>
      <w:r>
        <w:rPr>
          <w:rFonts w:ascii="Calibri" w:hAnsi="Calibri"/>
          <w:color w:val="243447"/>
          <w:sz w:val="21"/>
        </w:rPr>
        <w:t>Industrial-grade design for operation in non-conditioned environments</w:t>
      </w:r>
    </w:p>
    <w:p>
      <w:pPr>
        <w:pStyle w:val="ListBullet"/>
        <w:spacing w:after="50"/>
        <w:ind w:left="403" w:hanging="230"/>
      </w:pPr>
      <w:r>
        <w:rPr>
          <w:rFonts w:ascii="Calibri" w:hAnsi="Calibri"/>
          <w:color w:val="243447"/>
          <w:sz w:val="21"/>
        </w:rPr>
        <w:t>Encrypted communication supporting up to 256bit encryption ciphers</w:t>
      </w:r>
    </w:p>
    <w:p>
      <w:pPr>
        <w:pStyle w:val="ListBullet"/>
        <w:spacing w:after="50"/>
        <w:ind w:left="403" w:hanging="230"/>
      </w:pPr>
      <w:r>
        <w:rPr>
          <w:rFonts w:ascii="Calibri" w:hAnsi="Calibri"/>
          <w:color w:val="243447"/>
          <w:sz w:val="21"/>
        </w:rPr>
        <w:t>Throughput: High Capacity 100Mbps, High Capacity Plus 200Mbps</w:t>
      </w:r>
    </w:p>
    <w:p>
      <w:pPr>
        <w:pStyle w:val="ListBullet"/>
        <w:spacing w:after="50"/>
        <w:ind w:left="403" w:hanging="230"/>
      </w:pPr>
      <w:r>
        <w:rPr>
          <w:rFonts w:ascii="Calibri" w:hAnsi="Calibri"/>
          <w:color w:val="243447"/>
          <w:sz w:val="21"/>
        </w:rPr>
        <w:t>Optimized for video transmission and supports all IP traffic</w:t>
      </w:r>
    </w:p>
    <w:p>
      <w:pPr>
        <w:pStyle w:val="ListBullet"/>
        <w:spacing w:after="50"/>
        <w:ind w:left="403" w:hanging="230"/>
      </w:pPr>
      <w:r>
        <w:rPr>
          <w:rFonts w:ascii="Calibri" w:hAnsi="Calibri"/>
          <w:color w:val="243447"/>
          <w:sz w:val="21"/>
        </w:rPr>
        <w:t>Operates over any public or private IP network, including 4G/LTE</w:t>
      </w:r>
    </w:p>
    <w:p>
      <w:pPr>
        <w:pStyle w:val="ListBullet"/>
        <w:spacing w:after="50"/>
        <w:ind w:left="403" w:hanging="230"/>
      </w:pPr>
      <w:r>
        <w:rPr>
          <w:rFonts w:ascii="Calibri" w:hAnsi="Calibri"/>
          <w:color w:val="243447"/>
          <w:sz w:val="21"/>
        </w:rPr>
        <w:t>Dynamic mesh networking with no central server requirement</w:t>
      </w:r>
    </w:p>
    <w:p>
      <w:pPr>
        <w:pStyle w:val="ListBullet"/>
        <w:spacing w:after="50"/>
        <w:ind w:left="403" w:hanging="230"/>
      </w:pPr>
      <w:r>
        <w:rPr>
          <w:rFonts w:ascii="Calibri" w:hAnsi="Calibri"/>
          <w:color w:val="243447"/>
          <w:sz w:val="21"/>
        </w:rPr>
        <w:t>Multiple failover options for network resilience</w:t>
      </w:r>
    </w:p>
    <w:p>
      <w:pPr>
        <w:pStyle w:val="ListBullet"/>
        <w:spacing w:after="50"/>
        <w:ind w:left="403" w:hanging="230"/>
      </w:pPr>
      <w:r>
        <w:rPr>
          <w:rFonts w:ascii="Calibri" w:hAnsi="Calibri"/>
          <w:color w:val="243447"/>
          <w:sz w:val="21"/>
        </w:rPr>
        <w:t>Simple and rapid deployment with no changes to existing networks</w:t>
      </w:r>
    </w:p>
    <w:p>
      <w:pPr>
        <w:pStyle w:val="ListBullet"/>
        <w:spacing w:after="50"/>
        <w:ind w:left="403" w:hanging="230"/>
      </w:pPr>
      <w:r>
        <w:rPr>
          <w:rFonts w:ascii="Calibri" w:hAnsi="Calibri"/>
          <w:color w:val="243447"/>
          <w:sz w:val="21"/>
        </w:rPr>
        <w:t>Easy-to-use graphical user interface (GUI)</w:t>
      </w:r>
    </w:p>
    <w:p>
      <w:pPr>
        <w:pStyle w:val="ListBullet"/>
        <w:spacing w:after="50"/>
        <w:ind w:left="403" w:hanging="230"/>
      </w:pPr>
      <w:r>
        <w:rPr>
          <w:rFonts w:ascii="Calibri" w:hAnsi="Calibri"/>
          <w:color w:val="243447"/>
          <w:sz w:val="21"/>
        </w:rPr>
        <w:t>Integrated diagnostic tools (traffic monitoring, ping function)</w:t>
      </w:r>
    </w:p>
    <w:p>
      <w:pPr>
        <w:pStyle w:val="ListBullet"/>
        <w:spacing w:after="50"/>
        <w:ind w:left="403" w:hanging="230"/>
      </w:pPr>
      <w:r>
        <w:rPr>
          <w:rFonts w:ascii="Calibri" w:hAnsi="Calibri"/>
          <w:color w:val="243447"/>
          <w:sz w:val="21"/>
        </w:rPr>
        <w:t>IPv4 and IPv6 support</w:t>
      </w:r>
    </w:p>
    <w:p>
      <w:pPr>
        <w:pStyle w:val="ListBullet"/>
        <w:spacing w:after="50"/>
        <w:ind w:left="403" w:hanging="230"/>
      </w:pPr>
      <w:r>
        <w:rPr>
          <w:rFonts w:ascii="Calibri" w:hAnsi="Calibri"/>
          <w:color w:val="243447"/>
          <w:sz w:val="21"/>
        </w:rPr>
        <w:t>DHCP service on LAN port</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High Capacity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 +75°C/-22° ~ 167°F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High Capacity Plus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200Mbps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Extended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+85°C/-40° ~ 185°F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Encryption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AES: 128/192/256bit Blowfish: 128/192/256bit Camellia: 128/192/256bit SHA1, SHA256(1) RSA: 2048 FIPS 140-2(2)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106.6mm x 170mm x 64.4mm / 4.20” x 6.69” x 2.54”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- 4G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x SMA (male)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Management User Interface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Web GUI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Terminal block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Antennas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Please contact KBC Networks for details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Input Voltage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12-54 volts (normal: 24v)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watts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EMEA/Korea/Thailand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B38/B40/B41 LTE-FDD B1/B3/B5/B7/ B8/B20 UMTS/HSPA+ B1/B5/B8 GSM/GPRS/EDGE 900/ 1800MHz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Australia/N. Zealand/S. America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B40 LTE-FDD B1/B2/B3/B4/B5/B7/ B8/B28 UMTS/HSPA+ B1/B2/B5/B8 GSM/GPRS/EDGE 850/900/ 1800/1900MHz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EMEA/Korea/Thailand with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B38/B40/B41/B28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Band28</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B1/B3/B5/B7/ B8/B20/B28 UMTS/HSPA+ B1/B5/B8/B28 GSM/GPRS/EDGE 700/900/ 1800MHz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Japan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B1/B3/B8/B18/B19/B26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Global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B34/B38/B40/B41 LTE-FDD B1/B2/B3/B4/B5/B7/B8/B12/B13 B18/B19/B20/B25/B26/B28/B66 UMTS/HSPA+ B1/B2/B4/B5/B6 B8/B19 GSM/GPRS/EDGE 850/900/1800/1900MHz y with local wireless licensing regulations. to comply with regional frequencies, protocols, power and duplexing. ble in your region, please contact a KBC representative.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North America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B2/B4/B12 UMTS/HSPA+ B2/B5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Verizon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B2/B4/B5/B13 Every region uses different frequencies and duplexing bands that compl This has resulted in a range of KBC ThruLink LTE models that are tuned If you are using any private certified frequencies that are not availa</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Specsheet-THLK3-HC-HP-Rev2604.pdf.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WAN transport, cellular bands or wired service, addressing, antenna arrangement and local network requirements.</w:t>
      </w:r>
    </w:p>
    <w:p>
      <w:pPr>
        <w:pStyle w:val="ListBullet"/>
        <w:spacing w:after="50"/>
        <w:ind w:left="403" w:hanging="230"/>
      </w:pPr>
      <w:r>
        <w:rPr>
          <w:rFonts w:ascii="Calibri" w:hAnsi="Calibri"/>
          <w:color w:val="243447"/>
          <w:sz w:val="21"/>
        </w:rPr>
        <w:t>Provide compatible power, antennas, SIM or network service and surge protection required by the selected configuration.</w:t>
      </w:r>
    </w:p>
    <w:p>
      <w:pPr>
        <w:pStyle w:val="ListBullet"/>
        <w:spacing w:after="50"/>
        <w:ind w:left="403" w:hanging="230"/>
      </w:pPr>
      <w:r>
        <w:rPr>
          <w:rFonts w:ascii="Calibri" w:hAnsi="Calibri"/>
          <w:color w:val="243447"/>
          <w:sz w:val="21"/>
        </w:rPr>
        <w:t>Install and label the gateway, antennas, power circuits and network interfaces to match the approved design.</w:t>
      </w:r>
    </w:p>
    <w:p>
      <w:pPr>
        <w:pStyle w:val="ListBullet"/>
        <w:spacing w:after="50"/>
        <w:ind w:left="403" w:hanging="230"/>
      </w:pPr>
      <w:r>
        <w:rPr>
          <w:rFonts w:ascii="Calibri" w:hAnsi="Calibri"/>
          <w:color w:val="243447"/>
          <w:sz w:val="21"/>
        </w:rPr>
        <w:t>Apply access controls and configuration using authorised credentials and approved cybersecurity procedures.</w:t>
      </w:r>
    </w:p>
    <w:p>
      <w:pPr>
        <w:pStyle w:val="Heading2"/>
        <w:keepNext/>
      </w:pPr>
      <w:r>
        <w:t>3.3 CONFIGURATION AND COMMISSIONING</w:t>
      </w:r>
    </w:p>
    <w:p>
      <w:pPr>
        <w:pStyle w:val="ListBullet"/>
        <w:spacing w:after="50"/>
        <w:ind w:left="403" w:hanging="230"/>
      </w:pPr>
      <w:r>
        <w:rPr>
          <w:rFonts w:ascii="Calibri" w:hAnsi="Calibri"/>
          <w:color w:val="243447"/>
          <w:sz w:val="21"/>
        </w:rPr>
        <w:t>Verify WAN connectivity, encrypted tunnel operation and communication between all required network endpoints.</w:t>
      </w:r>
    </w:p>
    <w:p>
      <w:pPr>
        <w:pStyle w:val="ListBullet"/>
        <w:spacing w:after="50"/>
        <w:ind w:left="403" w:hanging="230"/>
      </w:pPr>
      <w:r>
        <w:rPr>
          <w:rFonts w:ascii="Calibri" w:hAnsi="Calibri"/>
          <w:color w:val="243447"/>
          <w:sz w:val="21"/>
        </w:rPr>
        <w:t>Verify route, bridge, addressing, DHCP, Wi-Fi, failover and mesh functions where included in the design.</w:t>
      </w:r>
    </w:p>
    <w:p>
      <w:pPr>
        <w:pStyle w:val="ListBullet"/>
        <w:spacing w:after="50"/>
        <w:ind w:left="403" w:hanging="230"/>
      </w:pPr>
      <w:r>
        <w:rPr>
          <w:rFonts w:ascii="Calibri" w:hAnsi="Calibri"/>
          <w:color w:val="243447"/>
          <w:sz w:val="21"/>
        </w:rPr>
        <w:t>Record encryption, network and diagnostic settings without exposing confidential credentials.</w:t>
      </w:r>
    </w:p>
    <w:p>
      <w:pPr>
        <w:pStyle w:val="ListBullet"/>
        <w:spacing w:after="50"/>
        <w:ind w:left="403" w:hanging="230"/>
      </w:pPr>
      <w:r>
        <w:rPr>
          <w:rFonts w:ascii="Calibri" w:hAnsi="Calibri"/>
          <w:color w:val="243447"/>
          <w:sz w:val="21"/>
        </w:rPr>
        <w:t>Provide final configuration backup where supported,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THLK3-HC-HP</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THLK3-HC-HP</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THLK3-HC-HP</dc:title>
  <dc:subject>Industrial encrypted networking and VPN equipment</dc:subject>
  <dc:creator>KBC Networks</dc:creator>
  <cp:keywords>A&amp;E specification, KBC Networks, thrulink</cp:keywords>
  <dc:description>generated by python-docx</dc:description>
  <cp:lastModifiedBy/>
  <cp:revision>1</cp:revision>
  <dcterms:created xsi:type="dcterms:W3CDTF">2013-12-23T23:15:00Z</dcterms:created>
  <dcterms:modified xsi:type="dcterms:W3CDTF">2013-12-23T23:15:00Z</dcterms:modified>
  <cp:category/>
</cp:coreProperties>
</file>