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i w:val="0"/>
          <w:color w:val="FC7C00"/>
          <w:sz w:val="20"/>
        </w:rPr>
        <w:t>ARCHITECTURAL AND ENGINEERING SPECIFICATION</w:t>
      </w:r>
    </w:p>
    <w:p>
      <w:pPr>
        <w:spacing w:after="80"/>
      </w:pPr>
      <w:r>
        <w:rPr>
          <w:rFonts w:ascii="Calibri" w:hAnsi="Calibri"/>
          <w:b/>
          <w:i w:val="0"/>
          <w:color w:val="243447"/>
          <w:sz w:val="46"/>
        </w:rPr>
        <w:t>Industrial Ethernet Switch</w:t>
      </w:r>
    </w:p>
    <w:p>
      <w:pPr>
        <w:spacing w:after="280"/>
      </w:pPr>
      <w:r>
        <w:rPr>
          <w:rFonts w:ascii="Calibri" w:hAnsi="Calibri"/>
          <w:b/>
          <w:i w:val="0"/>
          <w:color w:val="FC7C00"/>
          <w:sz w:val="28"/>
        </w:rPr>
        <w:t>Basis of Design: KBC Networks ESUGS8-B</w:t>
      </w:r>
    </w:p>
    <w:tbl>
      <w:tblPr>
        <w:tblStyle w:val="TableGrid"/>
        <w:tblW w:type="dxa" w:w="9360"/>
        <w:tblLayout w:type="fixed"/>
        <w:tblLook w:firstColumn="1" w:firstRow="1" w:lastColumn="0" w:lastRow="0" w:noHBand="0" w:noVBand="1" w:val="04A0"/>
        <w:tblInd w:w="120" w:type="dxa"/>
      </w:tblPr>
      <w:tblGrid>
        <w:gridCol w:w="4680"/>
        <w:gridCol w:w="4680"/>
      </w:tblGrid>
      <w:tr>
        <w:tc>
          <w:tcPr>
            <w:tcW w:type="dxa" w:w="4680"/>
            <w:shd w:fill="F2F4F7"/>
            <w:tcMar>
              <w:top w:w="80" w:type="dxa"/>
              <w:start w:w="120" w:type="dxa"/>
              <w:bottom w:w="80" w:type="dxa"/>
              <w:end w:w="120" w:type="dxa"/>
            </w:tcMar>
            <w:vAlign w:val="center"/>
          </w:tcPr>
          <w:p>
            <w:pPr>
              <w:spacing w:after="0"/>
            </w:pPr>
            <w:r/>
            <w:r>
              <w:rPr>
                <w:rFonts w:ascii="Calibri" w:hAnsi="Calibri"/>
                <w:b/>
                <w:i w:val="0"/>
                <w:color w:val="667085"/>
                <w:sz w:val="18"/>
              </w:rPr>
              <w:t xml:space="preserve">Product family: </w:t>
            </w:r>
            <w:r>
              <w:rPr>
                <w:rFonts w:ascii="Calibri" w:hAnsi="Calibri"/>
                <w:b w:val="0"/>
                <w:i w:val="0"/>
                <w:color w:val="243447"/>
                <w:sz w:val="18"/>
              </w:rPr>
              <w:t>Unmanaged industrial Ethernet switch</w:t>
            </w:r>
          </w:p>
        </w:tc>
        <w:tc>
          <w:tcPr>
            <w:tcW w:type="dxa" w:w="4680"/>
            <w:shd w:fill="F2F4F7"/>
            <w:tcMar>
              <w:top w:w="80" w:type="dxa"/>
              <w:start w:w="120" w:type="dxa"/>
              <w:bottom w:w="80" w:type="dxa"/>
              <w:end w:w="120" w:type="dxa"/>
            </w:tcMar>
            <w:vAlign w:val="center"/>
          </w:tcPr>
          <w:p>
            <w:pPr>
              <w:spacing w:after="0"/>
            </w:pPr>
            <w:r/>
            <w:r>
              <w:rPr>
                <w:rFonts w:ascii="Calibri" w:hAnsi="Calibri"/>
                <w:b/>
                <w:i w:val="0"/>
                <w:color w:val="667085"/>
                <w:sz w:val="18"/>
              </w:rPr>
              <w:t xml:space="preserve">Document status: </w:t>
            </w:r>
            <w:r>
              <w:rPr>
                <w:rFonts w:ascii="Calibri" w:hAnsi="Calibri"/>
                <w:b w:val="0"/>
                <w:i w:val="0"/>
                <w:color w:val="243447"/>
                <w:sz w:val="18"/>
              </w:rPr>
              <w:t>Tender / design specification</w:t>
            </w:r>
          </w:p>
        </w:tc>
      </w:tr>
      <w:tr>
        <w:tc>
          <w:tcPr>
            <w:tcW w:type="dxa" w:w="4680"/>
            <w:shd w:fill="F2F4F7"/>
            <w:tcMar>
              <w:top w:w="80" w:type="dxa"/>
              <w:start w:w="120" w:type="dxa"/>
              <w:bottom w:w="80" w:type="dxa"/>
              <w:end w:w="120" w:type="dxa"/>
            </w:tcMar>
            <w:vAlign w:val="center"/>
          </w:tcPr>
          <w:p>
            <w:pPr>
              <w:spacing w:after="0"/>
            </w:pPr>
            <w:r/>
            <w:r>
              <w:rPr>
                <w:rFonts w:ascii="Calibri" w:hAnsi="Calibri"/>
                <w:b/>
                <w:i w:val="0"/>
                <w:color w:val="667085"/>
                <w:sz w:val="18"/>
              </w:rPr>
              <w:t xml:space="preserve">Source data: </w:t>
            </w:r>
            <w:r>
              <w:rPr>
                <w:rFonts w:ascii="Calibri" w:hAnsi="Calibri"/>
                <w:b w:val="0"/>
                <w:i w:val="0"/>
                <w:color w:val="243447"/>
                <w:sz w:val="18"/>
              </w:rPr>
              <w:t>Specsheet-ESUGS8-B_Series-Rev1903.pdf</w:t>
            </w:r>
          </w:p>
        </w:tc>
        <w:tc>
          <w:tcPr>
            <w:tcW w:type="dxa" w:w="4680"/>
            <w:shd w:fill="F2F4F7"/>
            <w:tcMar>
              <w:top w:w="80" w:type="dxa"/>
              <w:start w:w="120" w:type="dxa"/>
              <w:bottom w:w="80" w:type="dxa"/>
              <w:end w:w="120" w:type="dxa"/>
            </w:tcMar>
            <w:vAlign w:val="center"/>
          </w:tcPr>
          <w:p>
            <w:pPr>
              <w:spacing w:after="0"/>
            </w:pPr>
            <w:r/>
            <w:r>
              <w:rPr>
                <w:rFonts w:ascii="Calibri" w:hAnsi="Calibri"/>
                <w:b/>
                <w:i w:val="0"/>
                <w:color w:val="667085"/>
                <w:sz w:val="18"/>
              </w:rPr>
              <w:t xml:space="preserve">Prepared: </w:t>
            </w:r>
            <w:r>
              <w:rPr>
                <w:rFonts w:ascii="Calibri" w:hAnsi="Calibri"/>
                <w:b w:val="0"/>
                <w:i w:val="0"/>
                <w:color w:val="243447"/>
                <w:sz w:val="18"/>
              </w:rPr>
              <w:t>1 August 2026</w:t>
            </w:r>
          </w:p>
        </w:tc>
      </w:tr>
    </w:tbl>
    <w:p>
      <w:pPr>
        <w:pStyle w:val="Heading1"/>
      </w:pPr>
      <w:r>
        <w:t>PART 1 - GENERAL</w:t>
      </w:r>
    </w:p>
    <w:p>
      <w:pPr>
        <w:pStyle w:val="Heading2"/>
      </w:pPr>
      <w:r>
        <w:t>1.1 SUMMARY</w:t>
      </w:r>
    </w:p>
    <w:p>
      <w:r>
        <w:t>Provide, install, configure where applicable, test and commission the industrial Ethernet switch described in this specification, including the power connection, network interfaces, mounting hardware and compatible optical transceivers required for a complete installation.</w:t>
      </w:r>
    </w:p>
    <w:p>
      <w:pPr>
        <w:pStyle w:val="Heading2"/>
      </w:pPr>
      <w:r>
        <w:t>1.2 BASIS OF DESIGN</w:t>
      </w:r>
    </w:p>
    <w:p>
      <w:r>
        <w:t>Basis-of-design manufacturer and model: KBC Networks ESUGS8-B. Legacy model; replacement model is ESSGS8-B. Use the replacement for new designs unless the legacy model is specifically required.</w:t>
      </w:r>
    </w:p>
    <w:p>
      <w:r>
        <w:t>Equivalent products may be considered only when the submitted equipment meets or exceeds every stated interface, PoE, power-input, environmental, mounting and management requirement without changing the intended system topology.</w:t>
      </w:r>
    </w:p>
    <w:p>
      <w:pPr>
        <w:pStyle w:val="Heading2"/>
      </w:pPr>
      <w:r>
        <w:t>1.3 SUBMITTALS</w:t>
      </w:r>
    </w:p>
    <w:p>
      <w:pPr>
        <w:pStyle w:val="ListBullet"/>
        <w:spacing w:after="80" w:line="280" w:lineRule="auto"/>
      </w:pPr>
      <w:r>
        <w:rPr>
          <w:rFonts w:ascii="Calibri" w:hAnsi="Calibri"/>
          <w:b w:val="0"/>
          <w:i w:val="0"/>
          <w:color w:val="243447"/>
          <w:sz w:val="22"/>
        </w:rPr>
        <w:t>Manufacturer technical data sheet identifying the exact model and hardware variant.</w:t>
      </w:r>
    </w:p>
    <w:p>
      <w:pPr>
        <w:pStyle w:val="ListBullet"/>
        <w:spacing w:after="80" w:line="280" w:lineRule="auto"/>
      </w:pPr>
      <w:r>
        <w:rPr>
          <w:rFonts w:ascii="Calibri" w:hAnsi="Calibri"/>
          <w:b w:val="0"/>
          <w:i w:val="0"/>
          <w:color w:val="243447"/>
          <w:sz w:val="22"/>
        </w:rPr>
        <w:t>Port schedule showing copper, PoE-capable, non-PoE, SFP/SFP+ and shared/combo interfaces.</w:t>
      </w:r>
    </w:p>
    <w:p>
      <w:pPr>
        <w:pStyle w:val="ListBullet"/>
        <w:spacing w:after="80" w:line="280" w:lineRule="auto"/>
      </w:pPr>
      <w:r>
        <w:rPr>
          <w:rFonts w:ascii="Calibri" w:hAnsi="Calibri"/>
          <w:b w:val="0"/>
          <w:i w:val="0"/>
          <w:color w:val="243447"/>
          <w:sz w:val="22"/>
        </w:rPr>
        <w:t>Power calculation confirming input supply compatibility and, where applicable, total PoE load and per-port demand.</w:t>
      </w:r>
    </w:p>
    <w:p>
      <w:pPr>
        <w:pStyle w:val="ListBullet"/>
        <w:spacing w:after="80" w:line="280" w:lineRule="auto"/>
      </w:pPr>
      <w:r>
        <w:rPr>
          <w:rFonts w:ascii="Calibri" w:hAnsi="Calibri"/>
          <w:b w:val="0"/>
          <w:i w:val="0"/>
          <w:color w:val="243447"/>
          <w:sz w:val="22"/>
        </w:rPr>
        <w:t>Mounting, environmental and enclosure details for the proposed installation location.</w:t>
      </w:r>
    </w:p>
    <w:p>
      <w:pPr>
        <w:pStyle w:val="ListBullet"/>
        <w:spacing w:after="80" w:line="280" w:lineRule="auto"/>
      </w:pPr>
      <w:r>
        <w:rPr>
          <w:rFonts w:ascii="Calibri" w:hAnsi="Calibri"/>
          <w:b w:val="0"/>
          <w:i w:val="0"/>
          <w:color w:val="243447"/>
          <w:sz w:val="22"/>
        </w:rPr>
        <w:t>Configuration and commissioning record for managed or PowerPilot functions, where applicable.</w:t>
      </w:r>
    </w:p>
    <w:p>
      <w:pPr>
        <w:pStyle w:val="Heading2"/>
      </w:pPr>
      <w:r>
        <w:t>1.4 QUALITY ASSURANCE</w:t>
      </w:r>
    </w:p>
    <w:p>
      <w:r>
        <w:t>Installation shall be performed by personnel familiar with industrial Ethernet, PoE power budgeting, optical interfaces and the applicable electrical and network practices. Do not infer port capability from the model code when the manufacturer data sheet states otherwise.</w:t>
      </w:r>
    </w:p>
    <w:p>
      <w:pPr>
        <w:pStyle w:val="Heading1"/>
      </w:pPr>
      <w:r>
        <w:t>PART 2 - PRODUCTS</w:t>
      </w:r>
    </w:p>
    <w:p>
      <w:pPr>
        <w:pStyle w:val="Heading2"/>
      </w:pPr>
      <w:r>
        <w:t>2.1 REQUIRED PRODUCT</w:t>
      </w:r>
    </w:p>
    <w:p>
      <w:r>
        <w:t>The switch shall be KBC Networks model ESUGS8-B, or an approved equivalent meeting all requirements below. It shall be a unmanaged industrial poe/poe+ ethernet switch.</w:t>
      </w:r>
    </w:p>
    <w:p>
      <w:pPr>
        <w:pStyle w:val="Heading2"/>
      </w:pPr>
      <w:r>
        <w:t>2.2 INTERFACES AND CAPACITY</w:t>
      </w:r>
    </w:p>
    <w:tbl>
      <w:tblPr>
        <w:tblStyle w:val="TableGrid"/>
        <w:tblW w:type="dxa" w:w="9360"/>
        <w:tblLayout w:type="fixed"/>
        <w:tblLook w:firstColumn="1" w:firstRow="1" w:lastColumn="0" w:lastRow="0" w:noHBand="0" w:noVBand="1" w:val="04A0"/>
        <w:tblInd w:w="120" w:type="dxa"/>
      </w:tblPr>
      <w:tblGrid>
        <w:gridCol w:w="2700"/>
        <w:gridCol w:w="6660"/>
      </w:tblGrid>
      <w:tr>
        <w:tc>
          <w:tcPr>
            <w:tcW w:type="dxa" w:w="2700"/>
            <w:shd w:fill="F2F4F7"/>
            <w:tcMar>
              <w:top w:w="80" w:type="dxa"/>
              <w:start w:w="120" w:type="dxa"/>
              <w:bottom w:w="80" w:type="dxa"/>
              <w:end w:w="120" w:type="dxa"/>
            </w:tcMar>
            <w:vAlign w:val="center"/>
          </w:tcPr>
          <w:p>
            <w:r>
              <w:rPr>
                <w:rFonts w:ascii="Calibri" w:hAnsi="Calibri"/>
                <w:b/>
                <w:i w:val="0"/>
                <w:color w:val="243447"/>
                <w:sz w:val="20"/>
              </w:rPr>
              <w:t>Requirement</w:t>
            </w:r>
          </w:p>
        </w:tc>
        <w:tc>
          <w:tcPr>
            <w:tcW w:type="dxa" w:w="6660"/>
            <w:shd w:fill="F2F4F7"/>
            <w:tcMar>
              <w:top w:w="80" w:type="dxa"/>
              <w:start w:w="120" w:type="dxa"/>
              <w:bottom w:w="80" w:type="dxa"/>
              <w:end w:w="120" w:type="dxa"/>
            </w:tcMar>
            <w:vAlign w:val="center"/>
          </w:tcPr>
          <w:p>
            <w:r>
              <w:rPr>
                <w:rFonts w:ascii="Calibri" w:hAnsi="Calibri"/>
                <w:b/>
                <w:i w:val="0"/>
                <w:color w:val="243447"/>
                <w:sz w:val="20"/>
              </w:rPr>
              <w:t>Specified performance</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Copper device ports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8</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PoE-capable copper ports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8</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Non-PoE copper ports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0</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Copper interface speed</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10/100/1000Base-T(X)</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Optical interfaces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0</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Optical interface speed</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Not stated</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Shared/combo interfaces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0</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Maximum simultaneous interfaces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8</w:t>
            </w:r>
          </w:p>
        </w:tc>
      </w:tr>
    </w:tbl>
    <w:p>
      <w:pPr>
        <w:spacing w:after="0"/>
      </w:pPr>
    </w:p>
    <w:p>
      <w:pPr>
        <w:pStyle w:val="IntenseQuote"/>
      </w:pPr>
      <w:r>
        <w:t>Copper device ports and SFP/SFP+ optical interfaces are separate quantities. Shared or combo interfaces shall not be counted twice when determining simultaneous usable capacity.</w:t>
      </w:r>
    </w:p>
    <w:p>
      <w:pPr>
        <w:pStyle w:val="Heading2"/>
      </w:pPr>
      <w:r>
        <w:t>2.3 POWER OVER ETHERNET</w:t>
      </w:r>
    </w:p>
    <w:tbl>
      <w:tblPr>
        <w:tblStyle w:val="TableGrid"/>
        <w:tblW w:type="dxa" w:w="9360"/>
        <w:tblLayout w:type="fixed"/>
        <w:tblLook w:firstColumn="1" w:firstRow="1" w:lastColumn="0" w:lastRow="0" w:noHBand="0" w:noVBand="1" w:val="04A0"/>
        <w:tblInd w:w="120" w:type="dxa"/>
      </w:tblPr>
      <w:tblGrid>
        <w:gridCol w:w="2700"/>
        <w:gridCol w:w="6660"/>
      </w:tblGrid>
      <w:tr>
        <w:tc>
          <w:tcPr>
            <w:tcW w:type="dxa" w:w="2700"/>
            <w:shd w:fill="F2F4F7"/>
            <w:tcMar>
              <w:top w:w="80" w:type="dxa"/>
              <w:start w:w="120" w:type="dxa"/>
              <w:bottom w:w="80" w:type="dxa"/>
              <w:end w:w="120" w:type="dxa"/>
            </w:tcMar>
            <w:vAlign w:val="center"/>
          </w:tcPr>
          <w:p>
            <w:r>
              <w:rPr>
                <w:rFonts w:ascii="Calibri" w:hAnsi="Calibri"/>
                <w:b/>
                <w:i w:val="0"/>
                <w:color w:val="243447"/>
                <w:sz w:val="20"/>
              </w:rPr>
              <w:t>Requirement</w:t>
            </w:r>
          </w:p>
        </w:tc>
        <w:tc>
          <w:tcPr>
            <w:tcW w:type="dxa" w:w="6660"/>
            <w:shd w:fill="F2F4F7"/>
            <w:tcMar>
              <w:top w:w="80" w:type="dxa"/>
              <w:start w:w="120" w:type="dxa"/>
              <w:bottom w:w="80" w:type="dxa"/>
              <w:end w:w="120" w:type="dxa"/>
            </w:tcMar>
            <w:vAlign w:val="center"/>
          </w:tcPr>
          <w:p>
            <w:r>
              <w:rPr>
                <w:rFonts w:ascii="Calibri" w:hAnsi="Calibri"/>
                <w:b/>
                <w:i w:val="0"/>
                <w:color w:val="243447"/>
                <w:sz w:val="20"/>
              </w:rPr>
              <w:t>Specified performance</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Supported PoE standards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IEEE 802.3af; IEEE 802.3at</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Maximum output per port</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30 W</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Total PoE budget</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240 W</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PoE operating detail</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Not stated</w:t>
            </w:r>
          </w:p>
        </w:tc>
      </w:tr>
    </w:tbl>
    <w:p>
      <w:pPr>
        <w:spacing w:after="0"/>
      </w:pPr>
    </w:p>
    <w:p>
      <w:r>
        <w:t>The installer shall verify powered-device class, maximum per-port demand, simultaneous PoE load, cable loss and available switch budget before energising connected equipment.</w:t>
      </w:r>
    </w:p>
    <w:p>
      <w:pPr>
        <w:pStyle w:val="Heading2"/>
      </w:pPr>
      <w:r>
        <w:t>2.4 POWER, ENVIRONMENT AND MOUNTING</w:t>
      </w:r>
    </w:p>
    <w:tbl>
      <w:tblPr>
        <w:tblStyle w:val="TableGrid"/>
        <w:tblW w:type="dxa" w:w="9360"/>
        <w:tblLayout w:type="fixed"/>
        <w:tblLook w:firstColumn="1" w:firstRow="1" w:lastColumn="0" w:lastRow="0" w:noHBand="0" w:noVBand="1" w:val="04A0"/>
        <w:tblInd w:w="120" w:type="dxa"/>
      </w:tblPr>
      <w:tblGrid>
        <w:gridCol w:w="2700"/>
        <w:gridCol w:w="6660"/>
      </w:tblGrid>
      <w:tr>
        <w:tc>
          <w:tcPr>
            <w:tcW w:type="dxa" w:w="2700"/>
            <w:shd w:fill="F2F4F7"/>
            <w:tcMar>
              <w:top w:w="80" w:type="dxa"/>
              <w:start w:w="120" w:type="dxa"/>
              <w:bottom w:w="80" w:type="dxa"/>
              <w:end w:w="120" w:type="dxa"/>
            </w:tcMar>
            <w:vAlign w:val="center"/>
          </w:tcPr>
          <w:p>
            <w:r>
              <w:rPr>
                <w:rFonts w:ascii="Calibri" w:hAnsi="Calibri"/>
                <w:b/>
                <w:i w:val="0"/>
                <w:color w:val="243447"/>
                <w:sz w:val="20"/>
              </w:rPr>
              <w:t>Requirement</w:t>
            </w:r>
          </w:p>
        </w:tc>
        <w:tc>
          <w:tcPr>
            <w:tcW w:type="dxa" w:w="6660"/>
            <w:shd w:fill="F2F4F7"/>
            <w:tcMar>
              <w:top w:w="80" w:type="dxa"/>
              <w:start w:w="120" w:type="dxa"/>
              <w:bottom w:w="80" w:type="dxa"/>
              <w:end w:w="120" w:type="dxa"/>
            </w:tcMar>
            <w:vAlign w:val="center"/>
          </w:tcPr>
          <w:p>
            <w:r>
              <w:rPr>
                <w:rFonts w:ascii="Calibri" w:hAnsi="Calibri"/>
                <w:b/>
                <w:i w:val="0"/>
                <w:color w:val="243447"/>
                <w:sz w:val="20"/>
              </w:rPr>
              <w:t>Specified performance</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Input power</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48-57VDC</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Input-voltage class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standard PoE DC</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Environmental and mounting requirements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Operating -40 to +75°C; IP40; DIN rail; wall mount</w:t>
            </w:r>
          </w:p>
        </w:tc>
      </w:tr>
    </w:tbl>
    <w:p>
      <w:pPr>
        <w:spacing w:after="0"/>
      </w:pPr>
    </w:p>
    <w:p>
      <w:pPr>
        <w:pStyle w:val="Heading2"/>
      </w:pPr>
      <w:r>
        <w:t>2.5 MANAGEMENT AND NETWORK FUNCTIONS</w:t>
      </w:r>
    </w:p>
    <w:tbl>
      <w:tblPr>
        <w:tblStyle w:val="TableGrid"/>
        <w:tblW w:type="dxa" w:w="9360"/>
        <w:tblLayout w:type="fixed"/>
        <w:tblLook w:firstColumn="1" w:firstRow="1" w:lastColumn="0" w:lastRow="0" w:noHBand="0" w:noVBand="1" w:val="04A0"/>
        <w:tblInd w:w="120" w:type="dxa"/>
      </w:tblPr>
      <w:tblGrid>
        <w:gridCol w:w="2700"/>
        <w:gridCol w:w="6660"/>
      </w:tblGrid>
      <w:tr>
        <w:tc>
          <w:tcPr>
            <w:tcW w:type="dxa" w:w="2700"/>
            <w:shd w:fill="F2F4F7"/>
            <w:tcMar>
              <w:top w:w="80" w:type="dxa"/>
              <w:start w:w="120" w:type="dxa"/>
              <w:bottom w:w="80" w:type="dxa"/>
              <w:end w:w="120" w:type="dxa"/>
            </w:tcMar>
            <w:vAlign w:val="center"/>
          </w:tcPr>
          <w:p>
            <w:r>
              <w:rPr>
                <w:rFonts w:ascii="Calibri" w:hAnsi="Calibri"/>
                <w:b/>
                <w:i w:val="0"/>
                <w:color w:val="243447"/>
                <w:sz w:val="20"/>
              </w:rPr>
              <w:t>Requirement</w:t>
            </w:r>
          </w:p>
        </w:tc>
        <w:tc>
          <w:tcPr>
            <w:tcW w:type="dxa" w:w="6660"/>
            <w:shd w:fill="F2F4F7"/>
            <w:tcMar>
              <w:top w:w="80" w:type="dxa"/>
              <w:start w:w="120" w:type="dxa"/>
              <w:bottom w:w="80" w:type="dxa"/>
              <w:end w:w="120" w:type="dxa"/>
            </w:tcMar>
            <w:vAlign w:val="center"/>
          </w:tcPr>
          <w:p>
            <w:r>
              <w:rPr>
                <w:rFonts w:ascii="Calibri" w:hAnsi="Calibri"/>
                <w:b/>
                <w:i w:val="0"/>
                <w:color w:val="243447"/>
                <w:sz w:val="20"/>
              </w:rPr>
              <w:t>Specified performance</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Management classification</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unmanaged</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Switching, management and redundancy</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store-and-forward; redundant power input; overload-current protection; reverse-polarity protection</w:t>
            </w:r>
          </w:p>
        </w:tc>
      </w:tr>
      <w:tr>
        <w:tc>
          <w:tcPr>
            <w:tcW w:type="dxa" w:w="2700"/>
            <w:tcMar>
              <w:top w:w="80" w:type="dxa"/>
              <w:start w:w="120" w:type="dxa"/>
              <w:bottom w:w="80" w:type="dxa"/>
              <w:end w:w="120" w:type="dxa"/>
            </w:tcMar>
            <w:vAlign w:val="center"/>
          </w:tcPr>
          <w:p>
            <w:pPr>
              <w:spacing w:after="0" w:line="264" w:lineRule="auto"/>
            </w:pPr>
            <w:r>
              <w:rPr>
                <w:rFonts w:ascii="Calibri" w:hAnsi="Calibri"/>
                <w:b/>
                <w:i w:val="0"/>
                <w:color w:val="243447"/>
                <w:sz w:val="20"/>
              </w:rPr>
              <w:t>Product limitations</w:t>
            </w:r>
          </w:p>
        </w:tc>
        <w:tc>
          <w:tcPr>
            <w:tcW w:type="dxa" w:w="6660"/>
            <w:tcMar>
              <w:top w:w="80" w:type="dxa"/>
              <w:start w:w="120" w:type="dxa"/>
              <w:bottom w:w="80" w:type="dxa"/>
              <w:end w:w="120" w:type="dxa"/>
            </w:tcMar>
            <w:vAlign w:val="center"/>
          </w:tcPr>
          <w:p>
            <w:pPr>
              <w:spacing w:after="0" w:line="264" w:lineRule="auto"/>
            </w:pPr>
            <w:r>
              <w:rPr>
                <w:rFonts w:ascii="Calibri" w:hAnsi="Calibri"/>
                <w:b w:val="0"/>
                <w:i w:val="0"/>
                <w:color w:val="243447"/>
                <w:sz w:val="20"/>
              </w:rPr>
              <w:t>No SFP ports; Power supply sold separately</w:t>
            </w:r>
          </w:p>
        </w:tc>
      </w:tr>
    </w:tbl>
    <w:p>
      <w:pPr>
        <w:spacing w:after="0"/>
      </w:pPr>
    </w:p>
    <w:p>
      <w:pPr>
        <w:pStyle w:val="Heading1"/>
      </w:pPr>
      <w:r>
        <w:t>PART 3 - EXECUTION</w:t>
      </w:r>
    </w:p>
    <w:p>
      <w:pPr>
        <w:pStyle w:val="Heading2"/>
      </w:pPr>
      <w:r>
        <w:t>3.1 EXAMINATION</w:t>
      </w:r>
    </w:p>
    <w:p>
      <w:pPr>
        <w:pStyle w:val="ListBullet"/>
        <w:spacing w:after="80" w:line="280" w:lineRule="auto"/>
      </w:pPr>
      <w:r>
        <w:rPr>
          <w:rFonts w:ascii="Calibri" w:hAnsi="Calibri"/>
          <w:b w:val="0"/>
          <w:i w:val="0"/>
          <w:color w:val="243447"/>
          <w:sz w:val="22"/>
        </w:rPr>
        <w:t>Confirm that the proposed input supply is within the specified voltage range and has adequate capacity.</w:t>
      </w:r>
    </w:p>
    <w:p>
      <w:pPr>
        <w:pStyle w:val="ListBullet"/>
        <w:spacing w:after="80" w:line="280" w:lineRule="auto"/>
      </w:pPr>
      <w:r>
        <w:rPr>
          <w:rFonts w:ascii="Calibri" w:hAnsi="Calibri"/>
          <w:b w:val="0"/>
          <w:i w:val="0"/>
          <w:color w:val="243447"/>
          <w:sz w:val="22"/>
        </w:rPr>
        <w:t>Confirm the required quantity and type of copper and optical interfaces, including whether any interfaces are shared or mutually exclusive.</w:t>
      </w:r>
    </w:p>
    <w:p>
      <w:pPr>
        <w:pStyle w:val="ListBullet"/>
        <w:spacing w:after="80" w:line="280" w:lineRule="auto"/>
      </w:pPr>
      <w:r>
        <w:rPr>
          <w:rFonts w:ascii="Calibri" w:hAnsi="Calibri"/>
          <w:b w:val="0"/>
          <w:i w:val="0"/>
          <w:color w:val="243447"/>
          <w:sz w:val="22"/>
        </w:rPr>
        <w:t>For PoE systems, confirm powered-device count, IEEE class, per-port demand and total simultaneous load.</w:t>
      </w:r>
    </w:p>
    <w:p>
      <w:pPr>
        <w:pStyle w:val="ListBullet"/>
        <w:spacing w:after="80" w:line="280" w:lineRule="auto"/>
      </w:pPr>
      <w:r>
        <w:rPr>
          <w:rFonts w:ascii="Calibri" w:hAnsi="Calibri"/>
          <w:b w:val="0"/>
          <w:i w:val="0"/>
          <w:color w:val="243447"/>
          <w:sz w:val="22"/>
        </w:rPr>
        <w:t>Confirm ambient conditions, enclosure protection and mounting arrangement are suitable for the installation location.</w:t>
      </w:r>
    </w:p>
    <w:p>
      <w:pPr>
        <w:pStyle w:val="Heading2"/>
      </w:pPr>
      <w:r>
        <w:t>3.2 INSTALLATION</w:t>
      </w:r>
    </w:p>
    <w:p>
      <w:pPr>
        <w:pStyle w:val="ListBullet"/>
        <w:spacing w:after="80" w:line="280" w:lineRule="auto"/>
      </w:pPr>
      <w:r>
        <w:rPr>
          <w:rFonts w:ascii="Calibri" w:hAnsi="Calibri"/>
          <w:b w:val="0"/>
          <w:i w:val="0"/>
          <w:color w:val="243447"/>
          <w:sz w:val="22"/>
        </w:rPr>
        <w:t>Install in accordance with the manufacturer instructions and the approved network drawings.</w:t>
      </w:r>
    </w:p>
    <w:p>
      <w:pPr>
        <w:pStyle w:val="ListBullet"/>
        <w:spacing w:after="80" w:line="280" w:lineRule="auto"/>
      </w:pPr>
      <w:r>
        <w:rPr>
          <w:rFonts w:ascii="Calibri" w:hAnsi="Calibri"/>
          <w:b w:val="0"/>
          <w:i w:val="0"/>
          <w:color w:val="243447"/>
          <w:sz w:val="22"/>
        </w:rPr>
        <w:t>Provide protective earthing, cable management, strain relief and separation from interference sources as required by the installation environment.</w:t>
      </w:r>
    </w:p>
    <w:p>
      <w:pPr>
        <w:pStyle w:val="ListBullet"/>
        <w:spacing w:after="80" w:line="280" w:lineRule="auto"/>
      </w:pPr>
      <w:r>
        <w:rPr>
          <w:rFonts w:ascii="Calibri" w:hAnsi="Calibri"/>
          <w:b w:val="0"/>
          <w:i w:val="0"/>
          <w:color w:val="243447"/>
          <w:sz w:val="22"/>
        </w:rPr>
        <w:t>Use compatible copper cabling and approved SFP/SFP+ transceivers matched to fibre type, connector, wavelength, speed and link distance.</w:t>
      </w:r>
    </w:p>
    <w:p>
      <w:pPr>
        <w:pStyle w:val="ListBullet"/>
        <w:spacing w:after="80" w:line="280" w:lineRule="auto"/>
      </w:pPr>
      <w:r>
        <w:rPr>
          <w:rFonts w:ascii="Calibri" w:hAnsi="Calibri"/>
          <w:b w:val="0"/>
          <w:i w:val="0"/>
          <w:color w:val="243447"/>
          <w:sz w:val="22"/>
        </w:rPr>
        <w:t>Label the switch, power circuits, network ports and optical links to match the project documentation.</w:t>
      </w:r>
    </w:p>
    <w:p>
      <w:pPr>
        <w:pStyle w:val="Heading2"/>
      </w:pPr>
      <w:r>
        <w:t>3.3 CONFIGURATION AND COMMISSIONING</w:t>
      </w:r>
    </w:p>
    <w:p>
      <w:pPr>
        <w:pStyle w:val="ListBullet"/>
        <w:spacing w:after="80" w:line="280" w:lineRule="auto"/>
      </w:pPr>
      <w:r>
        <w:rPr>
          <w:rFonts w:ascii="Calibri" w:hAnsi="Calibri"/>
          <w:b w:val="0"/>
          <w:i w:val="0"/>
          <w:color w:val="243447"/>
          <w:sz w:val="22"/>
        </w:rPr>
        <w:t>Verify link operation on every connected copper and optical interface.</w:t>
      </w:r>
    </w:p>
    <w:p>
      <w:pPr>
        <w:pStyle w:val="ListBullet"/>
        <w:spacing w:after="80" w:line="280" w:lineRule="auto"/>
      </w:pPr>
      <w:r>
        <w:rPr>
          <w:rFonts w:ascii="Calibri" w:hAnsi="Calibri"/>
          <w:b w:val="0"/>
          <w:i w:val="0"/>
          <w:color w:val="243447"/>
          <w:sz w:val="22"/>
        </w:rPr>
        <w:t>Verify PoE negotiation and delivered power at each powered device, where applicable.</w:t>
      </w:r>
    </w:p>
    <w:p>
      <w:pPr>
        <w:pStyle w:val="ListBullet"/>
        <w:spacing w:after="80" w:line="280" w:lineRule="auto"/>
      </w:pPr>
      <w:r>
        <w:rPr>
          <w:rFonts w:ascii="Calibri" w:hAnsi="Calibri"/>
          <w:b w:val="0"/>
          <w:i w:val="0"/>
          <w:color w:val="243447"/>
          <w:sz w:val="22"/>
        </w:rPr>
        <w:t>Apply and record required managed-switch or PowerPilot settings, where applicable.</w:t>
      </w:r>
    </w:p>
    <w:p>
      <w:pPr>
        <w:pStyle w:val="ListBullet"/>
        <w:spacing w:after="80" w:line="280" w:lineRule="auto"/>
      </w:pPr>
      <w:r>
        <w:rPr>
          <w:rFonts w:ascii="Calibri" w:hAnsi="Calibri"/>
          <w:b w:val="0"/>
          <w:i w:val="0"/>
          <w:color w:val="243447"/>
          <w:sz w:val="22"/>
        </w:rPr>
        <w:t>Demonstrate normal operation, power recovery and required redundancy behaviour.</w:t>
      </w:r>
    </w:p>
    <w:p>
      <w:pPr>
        <w:pStyle w:val="ListBullet"/>
        <w:spacing w:after="80" w:line="280" w:lineRule="auto"/>
      </w:pPr>
      <w:r>
        <w:rPr>
          <w:rFonts w:ascii="Calibri" w:hAnsi="Calibri"/>
          <w:b w:val="0"/>
          <w:i w:val="0"/>
          <w:color w:val="243447"/>
          <w:sz w:val="22"/>
        </w:rPr>
        <w:t>Provide final port schedule, configuration backup where supported, test results and installed model/serial records.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2056" w14:textId="5D341D0E" w:rsidR="0000321D" w:rsidRPr="00324A42" w:rsidRDefault="00324A42" w:rsidP="00324A42">
    <w:pPr>
      <w:pStyle w:val="Footer"/>
      <w:tabs>
        <w:tab w:val="left" w:pos="142"/>
      </w:tabs>
      <w:rPr>
        <w:sz w:val="18"/>
        <w:szCs w:val="18"/>
      </w:rPr>
    </w:pPr>
    <w:r w:rsidRPr="00324A42">
      <w:rPr>
        <w:sz w:val="18"/>
        <w:szCs w:val="18"/>
      </w:rPr>
      <w:t>03/08/26 – Ver-1001</w:t>
    </w:r>
    <w:r w:rsidRPr="00324A42">
      <w:rPr>
        <w:sz w:val="18"/>
        <w:szCs w:val="18"/>
      </w:rPr>
      <w:ptab w:relativeTo="margin" w:alignment="center" w:leader="none"/>
    </w:r>
    <w:r w:rsidRPr="00324A42">
      <w:rPr>
        <w:sz w:val="18"/>
        <w:szCs w:val="18"/>
      </w:rPr>
      <w:t>ESUGS8-B</w:t>
    </w:r>
    <w:r w:rsidRPr="00324A42">
      <w:rPr>
        <w:sz w:val="18"/>
        <w:szCs w:val="18"/>
      </w:rPr>
      <w:ptab w:relativeTo="margin" w:alignment="right" w:leader="none"/>
    </w:r>
    <w:r w:rsidRPr="00324A42">
      <w:rPr>
        <w:sz w:val="18"/>
        <w:szCs w:val="18"/>
      </w:rPr>
      <w:fldChar w:fldCharType="begin"/>
    </w:r>
    <w:r w:rsidRPr="00324A42">
      <w:rPr>
        <w:sz w:val="18"/>
        <w:szCs w:val="18"/>
      </w:rPr>
      <w:instrText xml:space="preserve"> PAGE   \* MERGEFORMAT </w:instrText>
    </w:r>
    <w:r w:rsidRPr="00324A42">
      <w:rPr>
        <w:sz w:val="18"/>
        <w:szCs w:val="18"/>
      </w:rPr>
      <w:fldChar w:fldCharType="separate"/>
    </w:r>
    <w:r w:rsidRPr="00324A42">
      <w:rPr>
        <w:b/>
        <w:bCs/>
        <w:noProof/>
        <w:sz w:val="18"/>
        <w:szCs w:val="18"/>
      </w:rPr>
      <w:t>1</w:t>
    </w:r>
    <w:r w:rsidRPr="00324A42">
      <w:rPr>
        <w:b/>
        <w:bCs/>
        <w:noProof/>
        <w:sz w:val="18"/>
        <w:szCs w:val="18"/>
      </w:rPr>
      <w:fldChar w:fldCharType="end"/>
    </w:r>
    <w:r w:rsidRPr="00324A42">
      <w:rPr>
        <w:b/>
        <w:bCs/>
        <w:sz w:val="18"/>
        <w:szCs w:val="18"/>
      </w:rPr>
      <w:t xml:space="preserve"> </w:t>
    </w:r>
    <w:r w:rsidRPr="00324A42">
      <w:rPr>
        <w:sz w:val="18"/>
        <w:szCs w:val="18"/>
      </w:rPr>
      <w:t>|</w:t>
    </w:r>
    <w:r w:rsidRPr="00324A42">
      <w:rPr>
        <w:b/>
        <w:bCs/>
        <w:sz w:val="18"/>
        <w:szCs w:val="18"/>
      </w:rPr>
      <w:t xml:space="preserve"> </w:t>
    </w:r>
    <w:r w:rsidRPr="00324A42">
      <w:rPr>
        <w:color w:val="7F7F7F" w:themeColor="background1" w:themeShade="7F"/>
        <w:spacing w:val="60"/>
        <w:sz w:val="18"/>
        <w:szCs w:val="18"/>
      </w:rPr>
      <w:t>Page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0F14" w14:textId="173B3709" w:rsidR="0000321D" w:rsidRDefault="00B22830">
    <w:pPr>
      <w:pStyle w:val="Header"/>
    </w:pPr>
    <w:r>
      <w:rPr>
        <w:b/>
        <w:noProof/>
        <w:color w:val="667085"/>
        <w:sz w:val="16"/>
      </w:rPr>
      <w:drawing>
        <wp:anchor distT="0" distB="0" distL="114300" distR="114300" simplePos="0" relativeHeight="251657216" behindDoc="1" locked="0" layoutInCell="1" allowOverlap="1" wp14:anchorId="55BB23EB" wp14:editId="23A34D94">
          <wp:simplePos x="0" y="0"/>
          <wp:positionH relativeFrom="column">
            <wp:posOffset>5088255</wp:posOffset>
          </wp:positionH>
          <wp:positionV relativeFrom="paragraph">
            <wp:posOffset>-106680</wp:posOffset>
          </wp:positionV>
          <wp:extent cx="1331119" cy="495300"/>
          <wp:effectExtent l="0" t="0" r="2540" b="0"/>
          <wp:wrapNone/>
          <wp:docPr id="350988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59488" name="Picture 1051859488"/>
                  <pic:cNvPicPr/>
                </pic:nvPicPr>
                <pic:blipFill>
                  <a:blip r:embed="rId1"/>
                  <a:stretch>
                    <a:fillRect/>
                  </a:stretch>
                </pic:blipFill>
                <pic:spPr>
                  <a:xfrm>
                    <a:off x="0" y="0"/>
                    <a:ext cx="1331119" cy="495300"/>
                  </a:xfrm>
                  <a:prstGeom prst="rect">
                    <a:avLst/>
                  </a:prstGeom>
                </pic:spPr>
              </pic:pic>
            </a:graphicData>
          </a:graphic>
          <wp14:sizeRelH relativeFrom="margin">
            <wp14:pctWidth>0</wp14:pctWidth>
          </wp14:sizeRelH>
          <wp14:sizeRelV relativeFrom="margin">
            <wp14:pctHeight>0</wp14:pctHeight>
          </wp14:sizeRelV>
        </wp:anchor>
      </w:drawing>
    </w:r>
    <w:r>
      <w:rPr>
        <w:b/>
        <w:color w:val="667085"/>
        <w:sz w:val="16"/>
      </w:rPr>
      <w:t xml:space="preserve">KBC </w:t>
    </w:r>
    <w:proofErr w:type="gramStart"/>
    <w:r>
      <w:rPr>
        <w:b/>
        <w:color w:val="667085"/>
        <w:sz w:val="16"/>
      </w:rPr>
      <w:t>NETWORKS  |</w:t>
    </w:r>
    <w:proofErr w:type="gramEnd"/>
    <w:r>
      <w:rPr>
        <w:b/>
        <w:color w:val="667085"/>
        <w:sz w:val="16"/>
      </w:rPr>
      <w:t xml:space="preserve">  ESUGS8-B</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24344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FC7C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FC7C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FC7C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FC7C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FC7C00"/>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FC7C00"/>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FC7C00"/>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FC7C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FC7C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FC7C0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FC7C00"/>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FC7C00"/>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FC7C00"/>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FC7C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FC7C00"/>
    </w:rPr>
  </w:style>
  <w:style w:type="character" w:customStyle="1" w:styleId="IntenseQuoteChar">
    <w:name w:val="Intense Quote Char"/>
    <w:basedOn w:val="DefaultParagraphFont"/>
    <w:link w:val="IntenseQuote"/>
    <w:uiPriority w:val="30"/>
    <w:rsid w:val="00FC693F"/>
    <w:rPr>
      <w:b/>
      <w:bCs/>
      <w:i/>
      <w:iCs/>
      <w:color w:val="FC7C00"/>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FC7C00"/>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FC7C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FC7C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FC7C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FC7C0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FC7C0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FC7C0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FC7C00"/>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FC7C00"/>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FC7C00"/>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FC7C00"/>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FC7C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FC7C00"/>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FC7C00"/>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FC7C00"/>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FC7C00"/>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FC7C00"/>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FC7C00"/>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FC7C00"/>
    </w:rPr>
  </w:style>
  <w:style w:type="character" w:customStyle="1" w:styleId="IntenseQuoteChar">
    <w:name w:val="Intense Quote Char"/>
    <w:basedOn w:val="DefaultParagraphFont"/>
    <w:link w:val="IntenseQuote"/>
    <w:uiPriority w:val="30"/>
    <w:rsid w:val="00FC693F"/>
    <w:rPr>
      <w:b/>
      <w:bCs/>
      <w:i/>
      <w:iCs/>
      <w:color w:val="FC7C00"/>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FC7C00"/>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FC7C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A&amp;E Specification - ESUGS8-B</dc:title>
  <dc:subject>Industrial Ethernet switch architectural and engineering specification</dc:subject>
  <dc:creator>KBC Networks</dc:creator>
  <cp:keywords/>
  <dc:description>generated by python-docx</dc:description>
  <cp:lastModifiedBy/>
  <cp:revision>1</cp:revision>
  <dcterms:created xsi:type="dcterms:W3CDTF">2013-12-23T23:15:00Z</dcterms:created>
  <dcterms:modified xsi:type="dcterms:W3CDTF">2013-12-23T23:15:00Z</dcterms:modified>
  <cp:category/>
</cp:coreProperties>
</file>