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MCLN2</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Specsheet_MCLN2_Series_Rev1903.pdf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MCLN2. Source description: Industrial two channels 10/100M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MCLN2, or an approved equivalent meeting all requirements below. It shall be supplied as industrial two channels 10/100m ethernet media converter.</w:t>
      </w:r>
    </w:p>
    <w:p>
      <w:pPr>
        <w:pStyle w:val="Heading2"/>
        <w:keepNext/>
      </w:pPr>
      <w:r>
        <w:t>2.2 PRODUCT DESCRIPTION</w:t>
      </w:r>
    </w:p>
    <w:p>
      <w:r>
        <w:t>The KBC MCLN2 series is an industrial two channels 10/100M Ethernet media converter. It supports transmission of two channels 10/100Base-T Ethernet over either one or two, multimode or single mode optical fibers with full duplex operation. Typically the two channels media converter is installed in remote end, in head end compatible</w:t>
      </w:r>
    </w:p>
    <w:p>
      <w:r>
        <w:t>The series is available in wall mount, DIN, and 2U passive rack FR2-12.</w:t>
      </w:r>
    </w:p>
    <w:p>
      <w:pPr>
        <w:pStyle w:val="Heading2"/>
        <w:keepNext/>
      </w:pPr>
      <w:r>
        <w:t>2.3 KEY FEATURES</w:t>
      </w:r>
    </w:p>
    <w:p>
      <w:pPr>
        <w:pStyle w:val="ListBullet"/>
        <w:spacing w:after="50"/>
        <w:ind w:left="403" w:hanging="230"/>
      </w:pPr>
      <w:r>
        <w:rPr>
          <w:rFonts w:ascii="Calibri" w:hAnsi="Calibri"/>
          <w:color w:val="243447"/>
          <w:sz w:val="21"/>
        </w:rPr>
        <w:t>10/100M auto sensing</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1 channel 10/100M media converter MCLN1 series</w:t>
      </w:r>
    </w:p>
    <w:p>
      <w:pPr>
        <w:pStyle w:val="ListBullet"/>
        <w:spacing w:after="50"/>
        <w:ind w:left="403" w:hanging="230"/>
      </w:pPr>
      <w:r>
        <w:rPr>
          <w:rFonts w:ascii="Calibri" w:hAnsi="Calibri"/>
          <w:color w:val="243447"/>
          <w:sz w:val="21"/>
        </w:rPr>
        <w:t>SM (Single Mode), and MM (Multi Mode)</w:t>
      </w:r>
    </w:p>
    <w:p>
      <w:pPr>
        <w:pStyle w:val="ListBullet"/>
        <w:spacing w:after="50"/>
        <w:ind w:left="403" w:hanging="230"/>
      </w:pPr>
      <w:r>
        <w:rPr>
          <w:rFonts w:ascii="Calibri" w:hAnsi="Calibri"/>
          <w:color w:val="243447"/>
          <w:sz w:val="21"/>
        </w:rPr>
        <w:t>1 fiber or 2 fibers</w:t>
      </w:r>
    </w:p>
    <w:p>
      <w:pPr>
        <w:pStyle w:val="ListBullet"/>
        <w:spacing w:after="50"/>
        <w:ind w:left="403" w:hanging="230"/>
      </w:pPr>
      <w:r>
        <w:rPr>
          <w:rFonts w:ascii="Calibri" w:hAnsi="Calibri"/>
          <w:color w:val="243447"/>
          <w:sz w:val="21"/>
        </w:rPr>
        <w:t>SM&amp;MM: 1310nm/1550m for 1 fiber; 1310nm for 2 fibers</w:t>
      </w:r>
    </w:p>
    <w:p>
      <w:pPr>
        <w:pStyle w:val="ListBullet"/>
        <w:spacing w:after="50"/>
        <w:ind w:left="403" w:hanging="230"/>
      </w:pPr>
      <w:r>
        <w:rPr>
          <w:rFonts w:ascii="Calibri" w:hAnsi="Calibri"/>
          <w:color w:val="243447"/>
          <w:sz w:val="21"/>
        </w:rPr>
        <w:t>Typical SM and MM transmission distance are 20KM and 2 KM respectively. Longer distance is available</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w:t>
      </w:r>
    </w:p>
    <w:p>
      <w:pPr>
        <w:pStyle w:val="ListBullet"/>
        <w:spacing w:after="50"/>
        <w:ind w:left="403" w:hanging="230"/>
      </w:pPr>
      <w:r>
        <w:rPr>
          <w:rFonts w:ascii="Calibri" w:hAnsi="Calibri"/>
          <w:color w:val="243447"/>
          <w:sz w:val="21"/>
        </w:rPr>
        <w:t>FR2-12 passive Rack with 12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Power</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Power Input IEEE802.3u 100Base-TX IEEE802.3u 100Base-FX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+12Vdc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 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+12Vdc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SM&amp;MM:1310nm/1550nm 2 fibers SM&amp;MM: 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MM (50/62.5/125μm) SM (9/125μm)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FC, SC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Loss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MM: 2km SM: 20KM Longer distance is available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Specsheet_MCLN2_Series_Rev1903.pdf.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MCLN2</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MCLN2</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MCLN2</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