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pPr>
      <w:r>
        <w:rPr>
          <w:rFonts w:ascii="Calibri" w:hAnsi="Calibri"/>
          <w:b/>
          <w:color w:val="FC7C00"/>
          <w:sz w:val="21"/>
        </w:rPr>
        <w:t>ARCHITECTURAL AND ENGINEERING SPECIFICATION</w:t>
      </w:r>
    </w:p>
    <w:p>
      <w:pPr>
        <w:pStyle w:val="Title"/>
      </w:pPr>
      <w:r>
        <w:t>Industrial Ethernet Media Converter</w:t>
      </w:r>
    </w:p>
    <w:p>
      <w:pPr>
        <w:spacing w:after="240"/>
      </w:pPr>
      <w:r>
        <w:rPr>
          <w:rFonts w:ascii="Calibri" w:hAnsi="Calibri"/>
          <w:b/>
          <w:color w:val="FC7C00"/>
          <w:sz w:val="31"/>
        </w:rPr>
        <w:t>Basis of Design: KBC Networks FMCR2</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4680"/>
        <w:gridCol w:w="4680"/>
      </w:tblGrid>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Product family: </w:t>
            </w:r>
            <w:r>
              <w:rPr>
                <w:rFonts w:ascii="Calibri" w:hAnsi="Calibri"/>
                <w:color w:val="243447"/>
                <w:sz w:val="18"/>
              </w:rPr>
              <w:t>Industrial Ethernet media conversion equipment</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Document status: </w:t>
            </w:r>
            <w:r>
              <w:rPr>
                <w:rFonts w:ascii="Calibri" w:hAnsi="Calibri"/>
                <w:color w:val="243447"/>
                <w:sz w:val="18"/>
              </w:rPr>
              <w:t>Tender / design specification</w:t>
            </w:r>
          </w:p>
        </w:tc>
      </w:tr>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Source data: </w:t>
            </w:r>
            <w:r>
              <w:rPr>
                <w:rFonts w:ascii="Calibri" w:hAnsi="Calibri"/>
                <w:color w:val="243447"/>
                <w:sz w:val="18"/>
              </w:rPr>
              <w:t>Specsheet-FMCR2_Series-Rev1709.pdf</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Prepared: </w:t>
            </w:r>
            <w:r>
              <w:rPr>
                <w:rFonts w:ascii="Calibri" w:hAnsi="Calibri"/>
                <w:color w:val="243447"/>
                <w:sz w:val="18"/>
              </w:rPr>
              <w:t>4 August 2026</w:t>
            </w:r>
          </w:p>
        </w:tc>
      </w:tr>
    </w:tbl>
    <w:p>
      <w:pPr>
        <w:spacing w:after="0"/>
      </w:pPr>
    </w:p>
    <w:p>
      <w:pPr>
        <w:pStyle w:val="Heading1"/>
        <w:keepNext/>
      </w:pPr>
      <w:r>
        <w:t>PART 1 - GENERAL</w:t>
      </w:r>
    </w:p>
    <w:p>
      <w:pPr>
        <w:pStyle w:val="Heading2"/>
        <w:keepNext/>
      </w:pPr>
      <w:r>
        <w:t>1.1 SUMMARY</w:t>
      </w:r>
    </w:p>
    <w:p>
      <w:r>
        <w:t>Provide, install, configure where applicable, test and commission the industrial ethernet media converter described in this specification, including the required interfaces, power connections, mounting hardware and compatible accessories.</w:t>
      </w:r>
    </w:p>
    <w:p>
      <w:pPr>
        <w:pStyle w:val="Heading2"/>
        <w:keepNext/>
      </w:pPr>
      <w:r>
        <w:t>1.2 BASIS OF DESIGN</w:t>
      </w:r>
    </w:p>
    <w:p>
      <w:r>
        <w:t>Basis-of-design manufacturer and product: KBC Networks FMCR2. Source description: Commercial Ethernet Media Converter.</w:t>
      </w:r>
    </w:p>
    <w:p>
      <w:r>
        <w:t>Equivalent products may be considered only when they meet or exceed every stated interface, performance, power, environmental and mounting requirement without changing the intended system design.</w:t>
      </w:r>
    </w:p>
    <w:p>
      <w:pPr>
        <w:pStyle w:val="Heading2"/>
        <w:keepNext/>
      </w:pPr>
      <w:r>
        <w:t>1.3 SUBMITTALS</w:t>
      </w:r>
    </w:p>
    <w:p>
      <w:pPr>
        <w:pStyle w:val="ListBullet"/>
        <w:spacing w:after="50"/>
        <w:ind w:left="403" w:hanging="230"/>
      </w:pPr>
      <w:r>
        <w:rPr>
          <w:rFonts w:ascii="Calibri" w:hAnsi="Calibri"/>
          <w:color w:val="243447"/>
          <w:sz w:val="21"/>
        </w:rPr>
        <w:t>Manufacturer technical data sheet identifying the exact model and selected hardware variant.</w:t>
      </w:r>
    </w:p>
    <w:p>
      <w:pPr>
        <w:pStyle w:val="ListBullet"/>
        <w:spacing w:after="50"/>
        <w:ind w:left="403" w:hanging="230"/>
      </w:pPr>
      <w:r>
        <w:rPr>
          <w:rFonts w:ascii="Calibri" w:hAnsi="Calibri"/>
          <w:color w:val="243447"/>
          <w:sz w:val="21"/>
        </w:rPr>
        <w:t>Interface or connection schedule identifying the electrical, optical, wireless, power and network connections.</w:t>
      </w:r>
    </w:p>
    <w:p>
      <w:pPr>
        <w:pStyle w:val="ListBullet"/>
        <w:spacing w:after="50"/>
        <w:ind w:left="403" w:hanging="230"/>
      </w:pPr>
      <w:r>
        <w:rPr>
          <w:rFonts w:ascii="Calibri" w:hAnsi="Calibri"/>
          <w:color w:val="243447"/>
          <w:sz w:val="21"/>
        </w:rPr>
        <w:t>Power calculation confirming input-supply compatibility and the total connected load where applicable.</w:t>
      </w:r>
    </w:p>
    <w:p>
      <w:pPr>
        <w:pStyle w:val="ListBullet"/>
        <w:spacing w:after="50"/>
        <w:ind w:left="403" w:hanging="230"/>
      </w:pPr>
      <w:r>
        <w:rPr>
          <w:rFonts w:ascii="Calibri" w:hAnsi="Calibri"/>
          <w:color w:val="243447"/>
          <w:sz w:val="21"/>
        </w:rPr>
        <w:t>Mounting, environmental and configuration details applicable to the proposed installation.</w:t>
      </w:r>
    </w:p>
    <w:p>
      <w:pPr>
        <w:pStyle w:val="Heading2"/>
        <w:keepNext/>
      </w:pPr>
      <w:r>
        <w:t>1.4 QUALITY ASSURANCE</w:t>
      </w:r>
    </w:p>
    <w:p>
      <w:r>
        <w:t>Installation shall be performed by personnel familiar with industrial Ethernet, copper and optical interfaces, PoE power budgeting, transceiver selection and applicable electrical and network practices. Verify all product capability from the current manufacturer data sheet and selected part number.</w:t>
      </w:r>
    </w:p>
    <w:p>
      <w:pPr>
        <w:pStyle w:val="Heading1"/>
        <w:keepNext/>
        <w:pageBreakBefore/>
      </w:pPr>
      <w:r>
        <w:t>PART 2 - PRODUCTS</w:t>
      </w:r>
    </w:p>
    <w:p>
      <w:pPr>
        <w:pStyle w:val="Heading2"/>
        <w:keepNext/>
      </w:pPr>
      <w:r>
        <w:t>2.1 REQUIRED PRODUCT</w:t>
      </w:r>
    </w:p>
    <w:p>
      <w:r>
        <w:t>The equipment shall be KBC Networks FMCR2, or an approved equivalent meeting all requirements below. It shall be supplied as commercial ethernet media converter.</w:t>
      </w:r>
    </w:p>
    <w:p>
      <w:pPr>
        <w:pStyle w:val="Heading2"/>
        <w:keepNext/>
      </w:pPr>
      <w:r>
        <w:t>2.2 PRODUCT DESCRIPTION</w:t>
      </w:r>
    </w:p>
    <w:p>
      <w:r>
        <w:t>The KBC FMCR2 Series chassis is a high quality 2U, 19” rack mounted cage. It can accommodate up to sixteen KBC MCC Series media converters. All media converters located within the rack are hot swappable, removing the need to power down the chassis when carrying out maintenance or making additions to the installation.</w:t>
      </w:r>
    </w:p>
    <w:p>
      <w:pPr>
        <w:pStyle w:val="Heading2"/>
        <w:keepNext/>
      </w:pPr>
      <w:r>
        <w:t>2.3 KEY FEATURES</w:t>
      </w:r>
    </w:p>
    <w:p>
      <w:pPr>
        <w:pStyle w:val="ListBullet"/>
        <w:spacing w:after="50"/>
        <w:ind w:left="403" w:hanging="230"/>
      </w:pPr>
      <w:r>
        <w:rPr>
          <w:rFonts w:ascii="Calibri" w:hAnsi="Calibri"/>
          <w:color w:val="243447"/>
          <w:sz w:val="21"/>
        </w:rPr>
        <w:t>Performance and feature requirements shall be as stated in the current manufacturer data sheet identified in this specification.</w:t>
      </w:r>
    </w:p>
    <w:p>
      <w:pPr>
        <w:pStyle w:val="Heading2"/>
        <w:keepNext/>
      </w:pPr>
      <w:r>
        <w:t>2.4 SOURCE-VERIFIED TECHNICAL REQUIREMENTS</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3384"/>
        <w:gridCol w:w="5976"/>
      </w:tblGrid>
      <w:tr>
        <w:trPr>
          <w:tblHeader w:val="true"/>
          <w:cantSplit/>
        </w:trPr>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Requirement</w:t>
            </w:r>
          </w:p>
        </w:tc>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Specified performance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Power Input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5Vdc</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-10° ~ +55°C / 14° ~ +131°F</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Power Supply (1)</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Input: 100~240Vac Output: +5Vdc</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Storage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-10° ~ +55°C / 14° ~ +131°F</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Humidity</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0 to 95% non-condensing</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Mean Time Between Failure (MTBF)</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&gt; 100,000 Hours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Mechanical - Dimensions (L x W x H)</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483mm x 201mm x 87mm (19.02” x 7.91” x 3.43”)</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Power</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Screw Block Terminal</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Mechanical - Number of Slots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16</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Others - Warranty</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2 years</w:t>
            </w:r>
          </w:p>
        </w:tc>
      </w:tr>
    </w:tbl>
    <w:p>
      <w:pPr>
        <w:spacing w:before="180" w:after="160"/>
      </w:pPr>
      <w:r>
        <w:rPr>
          <w:rFonts w:ascii="Calibri" w:hAnsi="Calibri"/>
          <w:b/>
          <w:i/>
          <w:color w:val="FC7C00"/>
          <w:sz w:val="21"/>
        </w:rPr>
        <w:t>The installer shall verify the selected part number, accessories and all project-specific operating limits against the current manufacturer data sheet before procurement and installation.</w:t>
      </w:r>
    </w:p>
    <w:p>
      <w:pPr>
        <w:pStyle w:val="Heading2"/>
        <w:keepNext/>
      </w:pPr>
      <w:r>
        <w:t>2.5 SOURCE VERIFICATION NOTE</w:t>
      </w:r>
    </w:p>
    <w:p>
      <w:r>
        <w:t>The requirements in this document have been prepared from Specsheet-FMCR2_Series-Rev1709.pdf. Any configurable channel count, optical module, antenna, power supply, plug, mounting option, battery, solar array, accessory or regional variant shall be selected and confirmed separately where the source sheet presents multiple possibilities.</w:t>
      </w:r>
    </w:p>
    <w:p>
      <w:pPr>
        <w:pStyle w:val="Heading1"/>
        <w:keepNext/>
      </w:pPr>
      <w:r>
        <w:t>PART 3 - EXECUTION</w:t>
      </w:r>
    </w:p>
    <w:p>
      <w:pPr>
        <w:pStyle w:val="Heading2"/>
        <w:keepNext/>
      </w:pPr>
      <w:r>
        <w:t>3.1 EXAMINATION</w:t>
      </w:r>
    </w:p>
    <w:p>
      <w:pPr>
        <w:pStyle w:val="ListBullet"/>
        <w:spacing w:after="50"/>
        <w:ind w:left="403" w:hanging="230"/>
      </w:pPr>
      <w:r>
        <w:rPr>
          <w:rFonts w:ascii="Calibri" w:hAnsi="Calibri"/>
          <w:color w:val="243447"/>
          <w:sz w:val="21"/>
        </w:rPr>
        <w:t>Confirm that the proposed equipment and selected variant match the approved design, required interfaces and intended operating environment.</w:t>
      </w:r>
    </w:p>
    <w:p>
      <w:pPr>
        <w:pStyle w:val="ListBullet"/>
        <w:spacing w:after="50"/>
        <w:ind w:left="403" w:hanging="230"/>
      </w:pPr>
      <w:r>
        <w:rPr>
          <w:rFonts w:ascii="Calibri" w:hAnsi="Calibri"/>
          <w:color w:val="243447"/>
          <w:sz w:val="21"/>
        </w:rPr>
        <w:t>Confirm that all input-power, cable, fiber, antenna, network and mounting conditions are within the manufacturer limits.</w:t>
      </w:r>
    </w:p>
    <w:p>
      <w:pPr>
        <w:pStyle w:val="ListBullet"/>
        <w:spacing w:after="50"/>
        <w:ind w:left="403" w:hanging="230"/>
      </w:pPr>
      <w:r>
        <w:rPr>
          <w:rFonts w:ascii="Calibri" w:hAnsi="Calibri"/>
          <w:color w:val="243447"/>
          <w:sz w:val="21"/>
        </w:rPr>
        <w:t>Confirm that all required accessories, transceivers, power supplies, batteries, antennas, mounting components and interconnection items are available and compatible.</w:t>
      </w:r>
    </w:p>
    <w:p>
      <w:pPr>
        <w:pStyle w:val="ListBullet"/>
        <w:spacing w:after="50"/>
        <w:ind w:left="403" w:hanging="230"/>
      </w:pPr>
      <w:r>
        <w:rPr>
          <w:rFonts w:ascii="Calibri" w:hAnsi="Calibri"/>
          <w:color w:val="243447"/>
          <w:sz w:val="21"/>
        </w:rPr>
        <w:t>Do not begin installation until conflicts between the design, site conditions and manufacturer requirements have been resolved.</w:t>
      </w:r>
    </w:p>
    <w:p>
      <w:pPr>
        <w:pStyle w:val="Heading2"/>
        <w:keepNext/>
      </w:pPr>
      <w:r>
        <w:t>3.2 INSTALLATION</w:t>
      </w:r>
    </w:p>
    <w:p>
      <w:pPr>
        <w:pStyle w:val="ListBullet"/>
        <w:spacing w:after="50"/>
        <w:ind w:left="403" w:hanging="230"/>
      </w:pPr>
      <w:r>
        <w:rPr>
          <w:rFonts w:ascii="Calibri" w:hAnsi="Calibri"/>
          <w:color w:val="243447"/>
          <w:sz w:val="21"/>
        </w:rPr>
        <w:t>Confirm copper speed, duplex mode, optical speed, connector, wavelength, fiber type and link distance for each connection.</w:t>
      </w:r>
    </w:p>
    <w:p>
      <w:pPr>
        <w:pStyle w:val="ListBullet"/>
        <w:spacing w:after="50"/>
        <w:ind w:left="403" w:hanging="230"/>
      </w:pPr>
      <w:r>
        <w:rPr>
          <w:rFonts w:ascii="Calibri" w:hAnsi="Calibri"/>
          <w:color w:val="243447"/>
          <w:sz w:val="21"/>
        </w:rPr>
        <w:t>Provide approved fixed-optic or SFP transceivers matched to the intended optical path.</w:t>
      </w:r>
    </w:p>
    <w:p>
      <w:pPr>
        <w:pStyle w:val="ListBullet"/>
        <w:spacing w:after="50"/>
        <w:ind w:left="403" w:hanging="230"/>
      </w:pPr>
      <w:r>
        <w:rPr>
          <w:rFonts w:ascii="Calibri" w:hAnsi="Calibri"/>
          <w:color w:val="243447"/>
          <w:sz w:val="21"/>
        </w:rPr>
        <w:t>Provide compatible power, protective earthing, cable management and environmental protection.</w:t>
      </w:r>
    </w:p>
    <w:p>
      <w:pPr>
        <w:pStyle w:val="ListBullet"/>
        <w:spacing w:after="50"/>
        <w:ind w:left="403" w:hanging="230"/>
      </w:pPr>
      <w:r>
        <w:rPr>
          <w:rFonts w:ascii="Calibri" w:hAnsi="Calibri"/>
          <w:color w:val="243447"/>
          <w:sz w:val="21"/>
        </w:rPr>
        <w:t>Label each converter, power circuit, copper port and optical link to match the project documentation.</w:t>
      </w:r>
    </w:p>
    <w:p>
      <w:pPr>
        <w:pStyle w:val="Heading2"/>
        <w:keepNext/>
      </w:pPr>
      <w:r>
        <w:t>3.3 CONFIGURATION AND COMMISSIONING</w:t>
      </w:r>
    </w:p>
    <w:p>
      <w:pPr>
        <w:pStyle w:val="ListBullet"/>
        <w:spacing w:after="50"/>
        <w:ind w:left="403" w:hanging="230"/>
      </w:pPr>
      <w:r>
        <w:rPr>
          <w:rFonts w:ascii="Calibri" w:hAnsi="Calibri"/>
          <w:color w:val="243447"/>
          <w:sz w:val="21"/>
        </w:rPr>
        <w:t>Verify link operation on every connected copper and optical interface.</w:t>
      </w:r>
    </w:p>
    <w:p>
      <w:pPr>
        <w:pStyle w:val="ListBullet"/>
        <w:spacing w:after="50"/>
        <w:ind w:left="403" w:hanging="230"/>
      </w:pPr>
      <w:r>
        <w:rPr>
          <w:rFonts w:ascii="Calibri" w:hAnsi="Calibri"/>
          <w:color w:val="243447"/>
          <w:sz w:val="21"/>
        </w:rPr>
        <w:t>Verify PoE negotiation and delivered power at each powered device where applicable.</w:t>
      </w:r>
    </w:p>
    <w:p>
      <w:pPr>
        <w:pStyle w:val="ListBullet"/>
        <w:spacing w:after="50"/>
        <w:ind w:left="403" w:hanging="230"/>
      </w:pPr>
      <w:r>
        <w:rPr>
          <w:rFonts w:ascii="Calibri" w:hAnsi="Calibri"/>
          <w:color w:val="243447"/>
          <w:sz w:val="21"/>
        </w:rPr>
        <w:t>Confirm speed, duplex, link-fault and diagnostic behaviour supported by the selected model.</w:t>
      </w:r>
    </w:p>
    <w:p>
      <w:pPr>
        <w:pStyle w:val="ListBullet"/>
        <w:spacing w:after="50"/>
        <w:ind w:left="403" w:hanging="230"/>
      </w:pPr>
      <w:r>
        <w:rPr>
          <w:rFonts w:ascii="Calibri" w:hAnsi="Calibri"/>
          <w:color w:val="243447"/>
          <w:sz w:val="21"/>
        </w:rPr>
        <w:t>Provide final link schedules, test results and installed model/serial information.</w:t>
      </w:r>
    </w:p>
    <w:sectPr w:rsidR="00FC693F" w:rsidRPr="0006063C" w:rsidSect="00034616">
      <w:headerReference w:type="default" r:id="rId9"/>
      <w:footerReference w:type="default" r:id="rId10"/>
      <w:pgSz w:w="12240" w:h="15840"/>
      <w:pgMar w:top="1843" w:right="1440" w:bottom="1440" w:left="1440" w:header="360"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3168"/>
      <w:gridCol w:w="3024"/>
      <w:gridCol w:w="3168"/>
    </w:tblGrid>
    <w:tr>
      <w:tc>
        <w:tcPr>
          <w:tcW w:type="dxa" w:w="3120"/>
          <w:tcMar>
            <w:top w:w="0" w:type="dxa"/>
            <w:start w:w="0" w:type="dxa"/>
            <w:bottom w:w="0" w:type="dxa"/>
            <w:end w:w="0" w:type="dxa"/>
          </w:tcMar>
        </w:tcPr>
        <w:p>
          <w:pPr>
            <w:jc w:val="left"/>
          </w:pPr>
          <w:r>
            <w:rPr>
              <w:rFonts w:ascii="Calibri" w:hAnsi="Calibri"/>
              <w:color w:val="243447"/>
              <w:sz w:val="16"/>
            </w:rPr>
            <w:t>04/08/26 – Ver-1001</w:t>
          </w:r>
        </w:p>
      </w:tc>
      <w:tc>
        <w:tcPr>
          <w:tcW w:type="dxa" w:w="3120"/>
          <w:tcMar>
            <w:top w:w="0" w:type="dxa"/>
            <w:start w:w="0" w:type="dxa"/>
            <w:bottom w:w="0" w:type="dxa"/>
            <w:end w:w="0" w:type="dxa"/>
          </w:tcMar>
        </w:tcPr>
        <w:p>
          <w:pPr>
            <w:jc w:val="center"/>
          </w:pPr>
          <w:r>
            <w:rPr>
              <w:rFonts w:ascii="Calibri" w:hAnsi="Calibri"/>
              <w:color w:val="243447"/>
              <w:sz w:val="16"/>
            </w:rPr>
            <w:t>FMCR2</w:t>
          </w:r>
        </w:p>
      </w:tc>
      <w:tc>
        <w:tcPr>
          <w:tcW w:type="dxa" w:w="3120"/>
          <w:tcMar>
            <w:top w:w="0" w:type="dxa"/>
            <w:start w:w="0" w:type="dxa"/>
            <w:bottom w:w="0" w:type="dxa"/>
            <w:end w:w="0" w:type="dxa"/>
          </w:tcMar>
        </w:tcPr>
        <w:p>
          <w:pPr>
            <w:jc w:val="right"/>
          </w:pPr>
          <w:r>
            <w:fldChar w:fldCharType="begin"/>
            <w:instrText xml:space="preserve"> PAGE </w:instrText>
            <w:fldChar w:fldCharType="end"/>
          </w:r>
          <w:r>
            <w:rPr>
              <w:rFonts w:ascii="Calibri" w:hAnsi="Calibri"/>
              <w:color w:val="243447"/>
              <w:sz w:val="16"/>
            </w:rPr>
            <w:t xml:space="preserve"> | Page</w:t>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6912"/>
      <w:gridCol w:w="2448"/>
    </w:tblGrid>
    <w:tr>
      <w:tc>
        <w:tcPr>
          <w:tcW w:type="dxa" w:w="4680"/>
          <w:vAlign w:val="center"/>
          <w:tcMar>
            <w:top w:w="0" w:type="dxa"/>
            <w:start w:w="0" w:type="dxa"/>
            <w:bottom w:w="0" w:type="dxa"/>
            <w:end w:w="0" w:type="dxa"/>
          </w:tcMar>
        </w:tcPr>
        <w:p>
          <w:pPr>
            <w:jc w:val="left"/>
          </w:pPr>
          <w:r>
            <w:rPr>
              <w:rFonts w:ascii="Calibri" w:hAnsi="Calibri"/>
              <w:b/>
              <w:color w:val="5E6875"/>
              <w:sz w:val="17"/>
            </w:rPr>
            <w:t>KBC NETWORKS  |  FMCR2</w:t>
          </w:r>
        </w:p>
      </w:tc>
      <w:tc>
        <w:tcPr>
          <w:tcW w:type="dxa" w:w="4680"/>
          <w:vAlign w:val="center"/>
          <w:tcMar>
            <w:top w:w="0" w:type="dxa"/>
            <w:start w:w="0" w:type="dxa"/>
            <w:bottom w:w="0" w:type="dxa"/>
            <w:end w:w="0" w:type="dxa"/>
          </w:tcMar>
        </w:tcPr>
        <w:p>
          <w:pPr>
            <w:jc w:val="right"/>
          </w:pPr>
          <w:r>
            <w:drawing>
              <wp:inline xmlns:a="http://schemas.openxmlformats.org/drawingml/2006/main" xmlns:pic="http://schemas.openxmlformats.org/drawingml/2006/picture">
                <wp:extent cx="1325880" cy="493351"/>
                <wp:docPr id="1" name="Picture 1"/>
                <wp:cNvGraphicFramePr>
                  <a:graphicFrameLocks noChangeAspect="1"/>
                </wp:cNvGraphicFramePr>
                <a:graphic>
                  <a:graphicData uri="http://schemas.openxmlformats.org/drawingml/2006/picture">
                    <pic:pic>
                      <pic:nvPicPr>
                        <pic:cNvPr id="0" name="kbc_logo.png"/>
                        <pic:cNvPicPr/>
                      </pic:nvPicPr>
                      <pic:blipFill>
                        <a:blip r:embed="rId1"/>
                        <a:stretch>
                          <a:fillRect/>
                        </a:stretch>
                      </pic:blipFill>
                      <pic:spPr>
                        <a:xfrm>
                          <a:off x="0" y="0"/>
                          <a:ext cx="1325880" cy="493351"/>
                        </a:xfrm>
                        <a:prstGeom prst="rect"/>
                      </pic:spPr>
                    </pic:pic>
                  </a:graphicData>
                </a:graphic>
              </wp:inline>
            </w:drawing>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4" w:lineRule="auto"/>
    </w:pPr>
    <w:rPr>
      <w:rFonts w:ascii="Calibri" w:hAnsi="Calibri"/>
      <w:color w:val="24344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Calibri" w:hAnsi="Calibri"/>
      <w:b/>
      <w:bCs/>
      <w:color w:val="FC7C00"/>
      <w:sz w:val="32"/>
      <w:szCs w:val="28"/>
    </w:rPr>
  </w:style>
  <w:style w:type="paragraph" w:styleId="Heading2">
    <w:name w:val="heading 2"/>
    <w:basedOn w:val="Normal"/>
    <w:next w:val="Normal"/>
    <w:link w:val="Heading2Char"/>
    <w:uiPriority w:val="9"/>
    <w:unhideWhenUsed/>
    <w:qFormat/>
    <w:rsid w:val="00FC693F"/>
    <w:pPr>
      <w:keepNext/>
      <w:keepLines/>
      <w:spacing w:before="160" w:after="100"/>
      <w:outlineLvl w:val="1"/>
    </w:pPr>
    <w:rPr>
      <w:rFonts w:asciiTheme="majorHAnsi" w:eastAsiaTheme="majorEastAsia" w:hAnsiTheme="majorHAnsi" w:cstheme="majorBidi" w:ascii="Calibri" w:hAnsi="Calibri"/>
      <w:b/>
      <w:bCs/>
      <w:color w:val="FC7C00"/>
      <w:sz w:val="26"/>
      <w:szCs w:val="26"/>
    </w:rPr>
  </w:style>
  <w:style w:type="paragraph" w:styleId="Heading3">
    <w:name w:val="heading 3"/>
    <w:basedOn w:val="Normal"/>
    <w:next w:val="Normal"/>
    <w:link w:val="Heading3Char"/>
    <w:uiPriority w:val="9"/>
    <w:unhideWhenUsed/>
    <w:qFormat/>
    <w:rsid w:val="00FC693F"/>
    <w:pPr>
      <w:keepNext/>
      <w:keepLines/>
      <w:spacing w:before="160" w:after="100"/>
      <w:outlineLvl w:val="2"/>
    </w:pPr>
    <w:rPr>
      <w:rFonts w:asciiTheme="majorHAnsi" w:eastAsiaTheme="majorEastAsia" w:hAnsiTheme="majorHAnsi" w:cstheme="majorBidi" w:ascii="Calibri" w:hAnsi="Calibri"/>
      <w:b/>
      <w:bCs/>
      <w:color w:val="FC7C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60" w:line="240" w:lineRule="auto"/>
      <w:contextualSpacing/>
    </w:pPr>
    <w:rPr>
      <w:rFonts w:asciiTheme="majorHAnsi" w:eastAsiaTheme="majorEastAsia" w:hAnsiTheme="majorHAnsi" w:cstheme="majorBidi" w:ascii="Calibri" w:hAnsi="Calibri"/>
      <w:b/>
      <w:color w:val="243447"/>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BCTableText">
    <w:name w:val="KBC Table Text"/>
    <w:pPr>
      <w:spacing w:after="0" w:line="240" w:lineRule="auto"/>
    </w:pPr>
    <w:rPr>
      <w:rFonts w:ascii="Calibri" w:hAnsi="Calibri"/>
      <w:color w:val="243447"/>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A&amp;E Specification - FMCR2</dc:title>
  <dc:subject>Industrial Ethernet media conversion equipment</dc:subject>
  <dc:creator>KBC Networks</dc:creator>
  <cp:keywords>A&amp;E specification, KBC Networks, media-converters</cp:keywords>
  <dc:description>generated by python-docx</dc:description>
  <cp:lastModifiedBy/>
  <cp:revision>1</cp:revision>
  <dcterms:created xsi:type="dcterms:W3CDTF">2013-12-23T23:15:00Z</dcterms:created>
  <dcterms:modified xsi:type="dcterms:W3CDTF">2013-12-23T23:15:00Z</dcterms:modified>
  <cp:category/>
</cp:coreProperties>
</file>